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DE0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Obwieszczenie Nr 91/2026</w:t>
      </w:r>
      <w:r>
        <w:rPr>
          <w:b/>
          <w:caps/>
        </w:rPr>
        <w:br/>
        <w:t>Burmistrza Miejskiej Górki</w:t>
      </w:r>
    </w:p>
    <w:p w14:paraId="69FD0DE7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stycznia 2026 r.</w:t>
      </w:r>
    </w:p>
    <w:p w14:paraId="2C0B3794" w14:textId="77777777" w:rsidR="00A77B3E" w:rsidRDefault="00000000">
      <w:pPr>
        <w:keepNext/>
        <w:spacing w:after="480"/>
        <w:jc w:val="center"/>
        <w:rPr>
          <w:u w:color="000000"/>
        </w:rPr>
      </w:pPr>
      <w:r>
        <w:rPr>
          <w:b/>
        </w:rPr>
        <w:t>O WYDANEJ DECYZJI</w:t>
      </w:r>
      <w:r>
        <w:rPr>
          <w:b/>
        </w:rPr>
        <w:br/>
        <w:t>w sprawie przedsięwzięcia polegającego na wykonaniu dwóch urządzeń wodnych o zdolności poboru nie mniejszej niż 10 m</w:t>
      </w:r>
      <w:r>
        <w:rPr>
          <w:b/>
          <w:color w:val="000000"/>
          <w:u w:color="000000"/>
          <w:vertAlign w:val="superscript"/>
        </w:rPr>
        <w:t>3</w:t>
      </w:r>
      <w:r>
        <w:rPr>
          <w:b/>
          <w:color w:val="000000"/>
          <w:u w:color="000000"/>
        </w:rPr>
        <w:t>/h</w:t>
      </w:r>
    </w:p>
    <w:p w14:paraId="455FE861" w14:textId="77777777"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u w:color="000000"/>
        </w:rPr>
        <w:t>Zgodnie z art. 85 ust. 3 ustawy z dnia 3 października 2008 roku o udostępnianiu informacji o środowisku i jego ochronie, udziale społeczeństwa w ochronie środowiska oraz o ocenach oddziaływania na środowisko (</w:t>
      </w:r>
      <w:proofErr w:type="spellStart"/>
      <w:r>
        <w:rPr>
          <w:u w:color="000000"/>
        </w:rPr>
        <w:t>t.j</w:t>
      </w:r>
      <w:proofErr w:type="spellEnd"/>
      <w:r>
        <w:rPr>
          <w:u w:color="000000"/>
        </w:rPr>
        <w:t xml:space="preserve">. Dz. U. z 2024 r., poz. 1112 ze zm.), podaję do publicznej wiadomości informację o podjęciu decyzji o środowiskowych uwarunkowaniach </w:t>
      </w:r>
      <w:proofErr w:type="spellStart"/>
      <w:r>
        <w:rPr>
          <w:u w:color="000000"/>
        </w:rPr>
        <w:t>zn</w:t>
      </w:r>
      <w:proofErr w:type="spellEnd"/>
      <w:r>
        <w:rPr>
          <w:u w:color="000000"/>
        </w:rPr>
        <w:t>.    WK.6220.7.2024 z dnia 07.01.2026 roku dla przedsięwzięcia polegającego na: wykonaniu dwóch urządzeń wodnych o zdolności poboru nie mniejszej niż 10 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>/h.</w:t>
      </w:r>
      <w:r>
        <w:rPr>
          <w:i/>
          <w:color w:val="000000"/>
          <w:u w:color="000000"/>
        </w:rPr>
        <w:t> </w:t>
      </w:r>
      <w:r>
        <w:rPr>
          <w:color w:val="000000"/>
          <w:u w:color="000000"/>
        </w:rPr>
        <w:t xml:space="preserve">Decyzja wydana została dla Wodociągów Gminnych w Pakosławiu Sp. </w:t>
      </w:r>
      <w:proofErr w:type="spellStart"/>
      <w:r>
        <w:rPr>
          <w:color w:val="000000"/>
          <w:u w:color="000000"/>
        </w:rPr>
        <w:t>zo.o</w:t>
      </w:r>
      <w:proofErr w:type="spellEnd"/>
      <w:r>
        <w:rPr>
          <w:color w:val="000000"/>
          <w:u w:color="000000"/>
        </w:rPr>
        <w:t>. ul. Leśna 42, 63-920 Pakosław.  Z treścią decyzji oraz z dokumentacją sprawy, w tym z opiniami:</w:t>
      </w:r>
    </w:p>
    <w:p w14:paraId="0B62B33F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Regionalnego Dyrektorem Ochrony Środowiska w Poznaniu – opinia z dnia 27.11.2025 roku </w:t>
      </w:r>
      <w:proofErr w:type="spellStart"/>
      <w:r>
        <w:rPr>
          <w:color w:val="000000"/>
          <w:u w:color="000000"/>
        </w:rPr>
        <w:t>zn</w:t>
      </w:r>
      <w:proofErr w:type="spellEnd"/>
      <w:r>
        <w:rPr>
          <w:color w:val="000000"/>
          <w:u w:color="000000"/>
        </w:rPr>
        <w:t>. WOO-IV.4220.962.2024.SK.4</w:t>
      </w:r>
    </w:p>
    <w:p w14:paraId="485D2C18" w14:textId="77777777" w:rsidR="00805976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Dyrektora Regionalnego Zarządu Gospodarki Wodnej we Wrocławiu Zarząd Zlewni w Lesznie - opinia z dnia 13.10.2025 roku </w:t>
      </w:r>
      <w:proofErr w:type="spellStart"/>
      <w:r>
        <w:rPr>
          <w:color w:val="000000"/>
          <w:u w:color="000000"/>
        </w:rPr>
        <w:t>zn</w:t>
      </w:r>
      <w:proofErr w:type="spellEnd"/>
      <w:r>
        <w:rPr>
          <w:color w:val="000000"/>
          <w:u w:color="000000"/>
        </w:rPr>
        <w:t xml:space="preserve">. VS.ZZŚ.4901.156.2024.RG  </w:t>
      </w:r>
    </w:p>
    <w:p w14:paraId="77EF5BCF" w14:textId="34A2106E" w:rsidR="00805976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t xml:space="preserve">można zapoznać się w Wydziale Komunalnym Urzędu Miejskiego w Miejskiej Górce, ul. Rynek 33, 63-910 Miejska Górka, pok. 16, w godzinach urzędowania, </w:t>
      </w:r>
      <w:proofErr w:type="spellStart"/>
      <w:r>
        <w:rPr>
          <w:color w:val="000000"/>
          <w:u w:color="000000"/>
        </w:rPr>
        <w:t>tj</w:t>
      </w:r>
      <w:proofErr w:type="spellEnd"/>
      <w:r>
        <w:rPr>
          <w:color w:val="000000"/>
          <w:u w:color="000000"/>
        </w:rPr>
        <w:t xml:space="preserve">: od 7.30 do 15.30.    </w:t>
      </w:r>
    </w:p>
    <w:p w14:paraId="648341D7" w14:textId="17000C95" w:rsidR="00A77B3E" w:rsidRDefault="00000000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t>Niniejsze ogłoszenie zostaje podane do publicznej wiadomości poprzez zamieszczenie na stronie Biuletynu Informacji Publicznej Urzędu Miejskiego w Miejskiej Górce oraz przez wywieszenie na tablicy ogłoszeń Urzędu Miejskiego w Miejskiej Górce, oraz w pobliżu miejsca realizacji inwestycji (tablica w miejscowości Niemarzyn i Dąbrowa).</w:t>
      </w:r>
    </w:p>
    <w:p w14:paraId="1A81B9A9" w14:textId="77777777" w:rsidR="00A77B3E" w:rsidRDefault="00A77B3E">
      <w:pPr>
        <w:keepNext/>
        <w:keepLines/>
        <w:spacing w:before="120" w:after="120"/>
        <w:ind w:left="227" w:hanging="113"/>
        <w:rPr>
          <w:color w:val="000000"/>
          <w:u w:color="000000"/>
        </w:rPr>
      </w:pPr>
    </w:p>
    <w:p w14:paraId="7DBC5917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7A3F32" w14:paraId="2CAFCE09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B2B93F" w14:textId="77777777" w:rsidR="007A3F32" w:rsidRDefault="007A3F32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798353" w14:textId="77777777" w:rsidR="007A3F32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6F8002AA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65CFA" w14:textId="77777777" w:rsidR="00E27E43" w:rsidRDefault="00E27E43">
      <w:r>
        <w:separator/>
      </w:r>
    </w:p>
  </w:endnote>
  <w:endnote w:type="continuationSeparator" w:id="0">
    <w:p w14:paraId="679F5E63" w14:textId="77777777" w:rsidR="00E27E43" w:rsidRDefault="00E2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A3F32" w14:paraId="47B7D56E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22CB4CA" w14:textId="77777777" w:rsidR="007A3F3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55954AC3-9BF3-40BF-8044-0FB7882ADDE6.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820A71C" w14:textId="77777777" w:rsidR="007A3F32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059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83CB41" w14:textId="77777777" w:rsidR="007A3F32" w:rsidRDefault="007A3F3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99B5" w14:textId="77777777" w:rsidR="00E27E43" w:rsidRDefault="00E27E43">
      <w:r>
        <w:separator/>
      </w:r>
    </w:p>
  </w:footnote>
  <w:footnote w:type="continuationSeparator" w:id="0">
    <w:p w14:paraId="7BA61F5E" w14:textId="77777777" w:rsidR="00E27E43" w:rsidRDefault="00E27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7A3F32"/>
    <w:rsid w:val="00805976"/>
    <w:rsid w:val="00A77B3E"/>
    <w:rsid w:val="00AC4845"/>
    <w:rsid w:val="00CA2A55"/>
    <w:rsid w:val="00E2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51CD7"/>
  <w15:docId w15:val="{5EB9C36B-1FFB-4443-B974-BD770CC2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91/2026 z dnia 7 stycznia 2026 r.</dc:title>
  <dc:subject>O WYDANEJ DECYZJIw sprawie przedsięwzięcia polegającego na wykonaniu dwóch urządzeń wodnych o zdolności poboru nie mniejszej niż 10 m3/h</dc:subject>
  <dc:creator>Jack</dc:creator>
  <cp:lastModifiedBy>Jack</cp:lastModifiedBy>
  <cp:revision>2</cp:revision>
  <dcterms:created xsi:type="dcterms:W3CDTF">2026-01-07T10:17:00Z</dcterms:created>
  <dcterms:modified xsi:type="dcterms:W3CDTF">2026-01-07T09:17:00Z</dcterms:modified>
  <cp:category>Akt prawny</cp:category>
</cp:coreProperties>
</file>