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II/11/24</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16 maja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wyrażenia woli dokonania wydzierżawienia po zakończeniu budowy przedszkola z oddziałami żłobkowymi w Miejskiej Górce</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lit. 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2024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609)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Rada Miejska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wyraża wolę wydzierżawienia przez gminę przedszkola wraz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oddziałami żłobkowymi po zakończeniu realizacji zadnia pn. „Budowa przedszkola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oddziałami żłobkowymi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120" w:after="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Wychowanie przedszkolne to ważny element struktury systemu oświaty. Jego głównym celem jest wspieranie dziecka w osiągnięciu dojrzałości do podjęcia nauki na pierwszym etapie edukacyjnym w szkole podstawowej. Dlatego tak ważne jest inwestowanie w edukację małych dzieci. Zapewnienie najmłodszym dzieciom dostępności do wysokiej jakości wychowania przedszkolnego to najskuteczniejszy sposób na wyrównywanie szans edukacyjnych. Podstawowym warunkiem poprawy dostępności wychowania przedszkolnego jest zapewnienie odpowiednich miejsc realizacji tej opieki. W związku z tym gmina w dniu 5 stycznia 2024 roku podpisała umowę na budowę nowoczesnego przedszkola z oddziałami żłobkowymi w Miejskiej Górce.</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Aby zapewnić odpowiednią jakość oferowanej opieki Gmina Miejska Górka zamierza wydzierżawić odpowiedniemu podmiotowi nieruchomość, na której budowane jest przedszkole wraz z oddziałami żłobkowymi.</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Z analiz przeprowadzanych przez stowarzyszenia oświatowe działające w Polsce wynika, że przedszkola państwowe prowadzone przez podmioty prywatne funkcjonują najlepiej i jest to bardzo dobre rozwiązanie.</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Czas pracy przedszkola prowadzonego przez podmiot prywatny byłby elastyczny, dostosowany do potrzeb zarówno dzieci, jak i rodziców. Ponadto podmiot prywatny prowadzący przedszkole ma większe możliwości pozyskiwania środków zewnętrznych, które mogą pozwolić na zaoferowanie wielu dodatkowych, atrakcyjnych zajęć i udogodnień stymulujących wszechstronny rozwój dziecka. Przedszkola prowadzone przez podmioty prywatne mogą lepiej dostosować swoje działania do indywidualnych potrzeb dzieci i ich rodziców także poprzez swobodę w układaniu programu i planu zajęć. Mogą one wykraczać poza podstawę programową, co z pewnością przełoży się na jakość nauczania, poziom opieki oraz stworzy więcej możliwości na wykorzystanie potencjału rozwojowego, tkwiącego we wczesnym dzieciństwie.</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Wychowanie w przedszkolu stanowi podstawę dla prawidłowego, indywidualnego rozwoju dziecka jak i przygotowania do podjęcia nauki w szkole. Kluczowym i nadrzędnym celem Gminy Miejska Górka jest stworzenie i zapewnienie jak najlepszej opieki i edukacji dla dzieci. Prowadzenie przedszkola wraz z oddziałami żłobkowymi przez podmiot prywatny, z pewnością pozwoli na dostosowanie oferty edukacyjnej do specyficznych potrzeb i zainteresowań dzieci, co może przyczynić się do ich lepszego zaangażowania w wykonywane zadania, efektywności nauki i prawidłowy rozwój we wszystkich aspektach.</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Biorąc pod uwagę powyższe, podjęcie niniejszej uchwały uznać należy za uzasadnione.</w:t>
      </w:r>
    </w:p>
    <w:sectPr>
      <w:footerReference w:type="default" r:id="rId5"/>
      <w:endnotePr>
        <w:numFmt w:val="decimal"/>
      </w:endnotePr>
      <w:type w:val="nextPage"/>
      <w:pgSz w:w="11906" w:h="16838" w:code="0"/>
      <w:pgMar w:top="850" w:right="850" w:bottom="1417" w:left="85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1438FF20-78E2-4D8D-83AB-F264462B6CE6.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1438FF20-78E2-4D8D-83AB-F264462B6CE6.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II/11/24 z dnia 16 maja 2024 r.</dc:title>
  <dc:subject>w sprawie wyrażenia woli dokonania wydzierżawienia po zakończeniu budowy przedszkola z^oddziałami żłobkowymi w^Miejskiej Górce</dc:subject>
  <dc:creator>HP</dc:creator>
  <cp:lastModifiedBy>HP</cp:lastModifiedBy>
  <cp:revision>1</cp:revision>
  <dcterms:created xsi:type="dcterms:W3CDTF">2024-05-17T12:17:09Z</dcterms:created>
  <dcterms:modified xsi:type="dcterms:W3CDTF">2024-05-17T12:17:09Z</dcterms:modified>
  <cp:category>Akt prawny</cp:category>
</cp:coreProperties>
</file>