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WK6730.31.2024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w Miejskiej Górce ul. Stawowa, na działkach ewidencyjnych nr 1588/11, 1589/3, 1570/2, 1772, 1771, 1773 położonych w obrębie geodezyjnym Miejska Górka,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F8BB89A5-B803-47EC-AC75-1E67487A8185.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3/2024 z dnia 8 maja 2024 r.</dc:title>
  <dc:subject>w sprawie ustalenia lokalizacji inwestycji celu publicznego nr WK6730.31.2024</dc:subject>
  <dc:creator>HP</dc:creator>
  <cp:lastModifiedBy>HP</cp:lastModifiedBy>
  <cp:revision>1</cp:revision>
  <dcterms:created xsi:type="dcterms:W3CDTF">2024-05-13T15:38:35Z</dcterms:created>
  <dcterms:modified xsi:type="dcterms:W3CDTF">2024-05-13T15:38:35Z</dcterms:modified>
  <cp:category>Akt prawny</cp:category>
</cp:coreProperties>
</file>