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17/2024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Miejskiej Górki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5 sierpnia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przeznaczenia oraz ogłoszenia wykazu nieruchomości przeznaczonych do sprzedaży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ust.2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1145),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Przeznaczyć do sprzedaży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trybie przetargu nieograniczonego nieruchomość położoną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Konarach, stanowiącą własność Gminy Miejska Górka.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Podać do publicznej wiadomości wykaz nieruchomości poprzez wywieszenie przez okres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na tablicy ogłoszeń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Miejskiej Górce oraz sołectwa wsi Konary, zamieszczenie informacji na stronie internetowej oraz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Wykaz nieruchomości stanowi załącznik do niniejszego zarządzenia.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Karol Skrzypczak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69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Burmistrza Miejskiej Górki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Wykaz nieruchomości przeznaczonych do sprzedaży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1"/>
        <w:gridCol w:w="1668"/>
        <w:gridCol w:w="2038"/>
        <w:gridCol w:w="1668"/>
        <w:gridCol w:w="1764"/>
        <w:gridCol w:w="2038"/>
        <w:gridCol w:w="1955"/>
        <w:gridCol w:w="1525"/>
        <w:gridCol w:w="17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Położenie nieruchomości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Oznaczenie nieruchomości </w:t>
            </w:r>
          </w:p>
          <w:p>
            <w:pPr>
              <w:jc w:val="center"/>
            </w:pPr>
            <w:r>
              <w:rPr>
                <w:sz w:val="24"/>
              </w:rPr>
              <w:t>(KW, nr działki)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Opis nieruchomości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Przeznaczenie nieruchomości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cena nieruchomości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Termin płatności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Forma sprzedaży nieruchomości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KONARY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732 </w:t>
            </w:r>
          </w:p>
          <w:p>
            <w:pPr>
              <w:jc w:val="left"/>
            </w:pPr>
            <w:r>
              <w:rPr>
                <w:sz w:val="24"/>
              </w:rPr>
              <w:t xml:space="preserve">(ŁV, RVI, RIVa, RIIIa i RIIIb) </w:t>
            </w:r>
          </w:p>
          <w:p>
            <w:pPr>
              <w:jc w:val="left"/>
            </w:pPr>
            <w:r>
              <w:rPr>
                <w:sz w:val="24"/>
              </w:rPr>
              <w:t xml:space="preserve">nr KW – PO1R/00031243/6 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8,7186 ha 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Nieruchomość rolna, niezabudowana z dostępem do drogi publicznej.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zgodnie ze studium uwarunkowań i kierunków zagospodarowania przestrzennego gminy Miejska Górka - leży na terenie upraw polowych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955 000,00 zł.</w:t>
            </w:r>
          </w:p>
          <w:p>
            <w:pPr>
              <w:jc w:val="left"/>
            </w:pPr>
            <w:r>
              <w:rPr>
                <w:sz w:val="24"/>
              </w:rPr>
              <w:t>Ww kwota nie podlega opodatkowaniu podatkiem VAT zgodnie z ustawą z dnia 11 marca 2004 r. o podatku od towarów i usług (t.j. Dz. U. z 2024 r. poz. 361).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przed zawarciem aktu notarialnego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przetarg nieograniczony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Osobom, którym przysługuje pierwszeństwo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nabyciu nieruchomości na podstawie art.34 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21sierpnia 1997r.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1145) oraz art.3 ust.1.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kształtowaniu ustroju rolnego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423) winny złożyć wniosek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nabycie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terminie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tygodni, licząc od dnia wywieszenia niniejszego wykazu.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Niniejszy wykaz podano do publicznej wiadomości poprzez: wywieszenie przez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Miejskiej Górce - Rynek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sołectwa wsi Konary, zamieszczenie na stronie bip-u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ponadto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wywieszeniu tego wykazu podano do publicznej wiadomości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prasie lokalnej „Życie Rawicza”.</w:t>
      </w:r>
    </w:p>
    <w:sectPr>
      <w:footerReference w:type="default" r:id="rId5"/>
      <w:endnotePr>
        <w:numFmt w:val="decimal"/>
      </w:endnotePr>
      <w:type w:val="nextPage"/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946562B6-A61E-4FE1-BF05-88B88E41F831.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946562B6-A61E-4FE1-BF05-88B88E41F831.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17/2024 z dnia 5 sierpnia 2024 r.</dc:title>
  <dc:subject>w sprawie przeznaczenia oraz ogłoszenia wykazu nieruchomości przeznaczonych do sprzedaży</dc:subject>
  <dc:creator>KarinaZ</dc:creator>
  <cp:lastModifiedBy>KarinaZ</cp:lastModifiedBy>
  <cp:revision>1</cp:revision>
  <dcterms:created xsi:type="dcterms:W3CDTF">2024-08-07T08:26:07Z</dcterms:created>
  <dcterms:modified xsi:type="dcterms:W3CDTF">2024-08-07T08:26:07Z</dcterms:modified>
  <cp:category>Akt prawny</cp:category>
</cp:coreProperties>
</file>