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LIII/303/23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Miejskiej Górce</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1 marca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ustalenia zasad ponoszenia odpłatności za pobyt w ośrodkach wsparcia udzielających tymczasowego schronienia w schroniskach dla osób bezdomnych i schroniska dla osób bezdomnych z usługami opiekuńczymi</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 j. Dz. U. z 2023 r. poz. 40),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1a oraz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2004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pomocy społecznej (t. 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2268 z późn. zm.) Rada Miejska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Miejskiej Górce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Ustala się zasady ponoszenia odpłatności za pobyt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ośrodkach wsparcia.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Ośrodkami wsparcia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rozumieniu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pomocy społecznej są również schroniska dla osób bezdomnych oraz schroniska dla osób bezdomnych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usługami opiekuńczymi.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Odpłatność ustala się za każdy miesiąc faktycznego pobytu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ośrodku wsparcia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określonej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decyzji administracyjnej.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Osoby samotnie gospodarujące oraz osoby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rodzinie ponoszą odpłatność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poniższej 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360"/>
        <w:gridCol w:w="3361"/>
        <w:gridCol w:w="33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rPr>
              <w:t>Dochód osoby samotnie gospodarującej lub na osobę w rodzinie wyrażony w % liczonych od wysokości kryterium dochodowego określonego w ustawie o pomocy społecznej (art. 8 ust. 1 uops)</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rPr>
              <w:t xml:space="preserve"> Wysokość odpłatności liczona procentowo w stosunku od dochodu osoby kierowanej do schroniska dla osób bezdomnych</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rPr>
              <w:t xml:space="preserve"> Wysokość odpłatności liczona procentowo w stosunku od dochodu osoby kierowanej do schroniska dla osób bezdomnych </w:t>
            </w:r>
          </w:p>
          <w:p>
            <w:pPr>
              <w:jc w:val="center"/>
            </w:pPr>
            <w:r>
              <w:rPr>
                <w:b/>
              </w:rPr>
              <w:t>z usługami opiekuńczymi</w:t>
            </w:r>
          </w:p>
        </w:tc>
      </w:tr>
      <w:tr>
        <w:tblPrEx>
          <w:tblW w:w="5000" w:type="pct"/>
          <w:tblLayout w:type="fixed"/>
          <w:tblCellMar>
            <w:left w:w="108" w:type="dxa"/>
            <w:right w:w="108" w:type="dxa"/>
          </w:tblCellMar>
        </w:tblPrEx>
        <w:trPr>
          <w:trHeight w:hRule="auto" w:val="0"/>
        </w:trPr>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do 100%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30%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50%</w:t>
            </w:r>
          </w:p>
        </w:tc>
      </w:tr>
      <w:tr>
        <w:tblPrEx>
          <w:tblW w:w="5000" w:type="pct"/>
          <w:tblLayout w:type="fixed"/>
          <w:tblCellMar>
            <w:left w:w="108" w:type="dxa"/>
            <w:right w:w="108" w:type="dxa"/>
          </w:tblCellMar>
        </w:tblPrEx>
        <w:trPr>
          <w:trHeight w:hRule="auto" w:val="0"/>
        </w:trPr>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powyżej 100% do 150%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40%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60%</w:t>
            </w:r>
          </w:p>
        </w:tc>
      </w:tr>
      <w:tr>
        <w:tblPrEx>
          <w:tblW w:w="5000" w:type="pct"/>
          <w:tblLayout w:type="fixed"/>
          <w:tblCellMar>
            <w:left w:w="108" w:type="dxa"/>
            <w:right w:w="108" w:type="dxa"/>
          </w:tblCellMar>
        </w:tblPrEx>
        <w:trPr>
          <w:trHeight w:hRule="auto" w:val="0"/>
        </w:trPr>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powyżej 150% do 200%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60%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80%</w:t>
            </w:r>
          </w:p>
        </w:tc>
      </w:tr>
      <w:tr>
        <w:tblPrEx>
          <w:tblW w:w="5000" w:type="pct"/>
          <w:tblLayout w:type="fixed"/>
          <w:tblCellMar>
            <w:left w:w="108" w:type="dxa"/>
            <w:right w:w="108" w:type="dxa"/>
          </w:tblCellMar>
        </w:tblPrEx>
        <w:trPr>
          <w:trHeight w:hRule="auto" w:val="0"/>
        </w:trPr>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powyżej 200% do 250%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80%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do 90%</w:t>
            </w:r>
          </w:p>
        </w:tc>
      </w:tr>
      <w:tr>
        <w:tblPrEx>
          <w:tblW w:w="5000" w:type="pct"/>
          <w:tblLayout w:type="fixed"/>
          <w:tblCellMar>
            <w:left w:w="108" w:type="dxa"/>
            <w:right w:w="108" w:type="dxa"/>
          </w:tblCellMar>
        </w:tblPrEx>
        <w:trPr>
          <w:trHeight w:hRule="auto" w:val="0"/>
        </w:trPr>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powyżej 250%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100%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100%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Opłata za pobyt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ośrodku wsparcia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wyższa od kwoty 100% pełnego miesięcznego kosztu pobytu.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Osoby przebywające krócej niż miesiąc oraz opuszczające ośrodek wsparcia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miesiąca kalendarzowego ponoszą opłatę proporcjonalnie do liczby dni pobytu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ośrodku wsparcia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miesiącu.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Wpłaty należności za pobyt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ośrodku wsparcia wnoszona jest przez osobę skierowaną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decyzji administracyjnej.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b w:val="0"/>
          <w:i w:val="0"/>
          <w:caps w:val="0"/>
          <w:strike w:val="0"/>
          <w:color w:val="000000"/>
          <w:sz w:val="22"/>
          <w:u w:val="none" w:color="000000"/>
          <w:vertAlign w:val="baseline"/>
        </w:rPr>
        <w:t>Traci moc Uchwała Nr L/285/22 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ustalenia zasad ponoszenia odpłatności za pobyt w ośrodkach wsparcia i mieszkaniach chronionych.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Miejskiej Górki.</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Zdzisław Goliński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Ustawodawca powierzył radzie miejskiej kompetencje do stanowienia w drodze uchwały szczegółowych zasad ponoszenia odpłatności za pobyt w ośrodkach wsparcia, w tym schroniskach dla osób bezdomnych. Na podstawie art. 97 ust. 5 ustawy z dnia 12 marca 2004 roku o pomocy społecznej rada miejska ustala, w zakresie zadań własnych, szczegółowe zasady ponoszenia odpłatności za pobyt w ośrodkach wsparcia natomiast do zadań gminy o charakterze obowiązkowym należy między innymi udzielenie schronienia, zapewnienie posiłku oraz niezbędnego ubrania osobom tego pozbawionym. Określenie odpłatności pozwala uwzględnić możliwości finansowe osób zobowiązanych do jej wnoszenia. Zakres udzielanej pomocy w schronisku dla osób bezdomnych w przypadku osób bezdomnych zdolnych do samoobsługi, różni się od pomocy udzielanej osobom bezdomnym, które ze względu na wiek, chorobę lub niepełnosprawność wymagają częściowej pomocy i opieki innych osób. W przypadku osób bezdomnych w schronisku dla osób bezdomnych mamy do czynienia z osobami zdolnymi do samoobsługi, które nie posiadają ograniczeń uniemożliwiających samodzielne swobodne przemieszczanie się. Są to osoby, które mogą podejmować często pracę lub inne formy aktywności. Wobec tych osób schronisko podejmuje działania aktywizujące mające na celu wyjście z bezdomności. W przypadku schronisk dla osób bezdomnych z usługami opiekuńczymi wymaga się od opiekunów wyższych kwalifikacji, niż w przypadku opiekunów w schronisku dla osób bezdomnych z uwagi na specyficzne potrzeby osób wymagających usług opiekuńczych – co ma bezpośrednie przełożenie na cenę takiego pobytu.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b/>
          <w:szCs w:val="20"/>
        </w:rPr>
        <w:t>Konsekwencje finansowe dla budżetu Gminy</w:t>
      </w:r>
      <w:r>
        <w:rPr>
          <w:color w:val="000000"/>
          <w:szCs w:val="20"/>
          <w:u w:color="000000"/>
        </w:rPr>
        <w:t>.</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color w:val="000000"/>
          <w:szCs w:val="20"/>
          <w:u w:color="000000"/>
        </w:rPr>
      </w:pPr>
      <w:r>
        <w:rPr>
          <w:color w:val="000000"/>
          <w:szCs w:val="20"/>
          <w:u w:color="000000"/>
        </w:rPr>
        <w:t>Odpłatność za pobyt w schronisku dla osób bezdomnych ponoszona przez osobę bezdomną jest wnoszona na rzecz gminy zgodnie z decyzją i w niewielkim stopniu zmniejsza wydatki jakie gmina ponosi w związku z zapewnieniem schronienia w schronisku dla osób bezdomnych. Osoby bezdomne kierowane do schroniska w zdecydowanej większości nie posiadają dochodów własnych.</w:t>
      </w: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B5846259-4E12-48B4-943B-42A3FD209115.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B5846259-4E12-48B4-943B-42A3FD209115.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Miejskiej Górce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LIII/303/23 z dnia 1 marca 2023 r.</dc:title>
  <dc:subject>w sprawie ustalenia zasad ponoszenia odpłatności za pobyt w^ośrodkach wsparcia udzielających tymczasowego schronienia w^schroniskach dla osób bezdomnych i^schroniska dla osób bezdomnych z^usługami opiekuńczymi</dc:subject>
  <dc:creator>HP</dc:creator>
  <cp:lastModifiedBy>HP</cp:lastModifiedBy>
  <cp:revision>1</cp:revision>
  <dcterms:created xsi:type="dcterms:W3CDTF">2023-03-02T10:03:14Z</dcterms:created>
  <dcterms:modified xsi:type="dcterms:W3CDTF">2023-03-02T10:03:14Z</dcterms:modified>
  <cp:category>Akt prawny</cp:category>
</cp:coreProperties>
</file>