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LXI/347/23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apelu dotyczącego zmiany Uchwały Sejmiku Województwa Wielkopolskiego Nr XXXIX/941/17 z dnia 18 grudnia 2017 r. w sprawie wprowadzenia na obszarze województwa wielkopolskiego ograniczeń lub zakazów w zakresie eksploatacji instalacji, w których następuje spalanie paliw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XXXVI/199/18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Statutu Gminy Miejska Górka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Woj. Wlkp.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7131),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apeluje do Sejmiku Województwa Wielkopolskiego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dokonanie zmiany terminu realizacji obowiązku wymiany starych instalacji na paliwa stałe, niespełniających norm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niżej wymienionej uchwale Sejmiku,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 kotłów na węgiel starszej generacji, kominków oraz pieców (np. trzon kuchenny, piece kaflowe), przewidzianego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XXXIX/941/17 Sejmiku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na obszarze województwa wielkopolskiego ograniczeń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zakazów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eksploatacji instalacji,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następuje spalanie paliw,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podanych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Odpis niniejszej uchwały przekazuje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Sejmikowi Województwa Wielkopolskiego;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Zarządowi Województwa Wielkopolskiego;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Marszałkowi Województwa Wielkopolskiego.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obowiązkiem wynikającym z uchwały antysmogowej, która nakłada na mieszkańców wielkopolski wymianę bezklasowych kotłów na węgiel i drewno do końca roku 2023 oraz kominków i pieców niespełniających wymogów emisyjności i efektywności energetycznej do końca 2025, Rada Miejska w Miejskiej Górce postanowiła zwrócić się z apelem do Sejmiku Województwa Wielkopolskiego o zmianę postanowień ww. uchwały w zakresie wydłużenia terminów wymiany źródeł ciepła. Przesłanką proponowanych zmian jest niestabilna sytuacja polityczna w kraju, wahania na rynkach paliw oraz niezależne od właścicieli budynków jedno i wielorodzinnych opóźnienia w wymianie starych urządzeń grzewczych. Nie bez znaczenia jest także trudna sytuacja ekonomiczna części mieszkańców Gminy Miejska Górka, których aktualnie - nawet przy znacznym wsparciu ze środków zewnętrznych - nie stać na zmianę systemu ogrzewania.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B4E258BA-88BC-4403-A7FF-49838AE911A3.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B4E258BA-88BC-4403-A7FF-49838AE911A3.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LXI/347/23 z dnia 29 listopada 2023 r.</dc:title>
  <dc:subject>w sprawie apelu dotyczącego zmiany Uchwały Sejmiku Województwa Wielkopolskiego Nr XXXIX/941/17 z^dnia 18^grudnia 2017^r. w^sprawie wprowadzenia na obszarze województwa wielkopolskiego ograniczeń lub zakazów w^zakresie eksploatacji instalacji, w^których następuje spalanie paliw</dc:subject>
  <dc:creator>HP</dc:creator>
  <cp:lastModifiedBy>HP</cp:lastModifiedBy>
  <cp:revision>1</cp:revision>
  <dcterms:created xsi:type="dcterms:W3CDTF">2023-12-05T14:17:22Z</dcterms:created>
  <dcterms:modified xsi:type="dcterms:W3CDTF">2023-12-05T14:17:22Z</dcterms:modified>
  <cp:category>Akt prawny</cp:category>
</cp:coreProperties>
</file>