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LXI/341/23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środków transportowych na obszarze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wysokość stawek podatku od jednego środka transportu: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3,5 tony do 5,5 ton włącznie 693,00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5,5 tony do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włącznie 1.040,00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poniżej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1.247,00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 równej lub wyższej niż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60"/>
        <w:gridCol w:w="1635"/>
        <w:gridCol w:w="3120"/>
        <w:gridCol w:w="3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 masa całkowita (w tonach)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1.317,00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1.317,00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1.455,00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1.455,00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1.525,00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1.525,00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1.733,00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1.733,00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1.663,00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1.733,00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1.733,00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1.871,00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2.010,00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2.148,00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2.148,00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2.356,00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2.356,00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Cztery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2.148,00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2.148,00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2.218,00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2.218,00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2.356,00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2.356,00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2.426,00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2.564,00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2.980,00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stawka wynosi - 1.802,00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70"/>
        <w:gridCol w:w="30"/>
        <w:gridCol w:w="1560"/>
        <w:gridCol w:w="15"/>
        <w:gridCol w:w="3930"/>
        <w:gridCol w:w="15"/>
        <w:gridCol w:w="3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 masa całkowita zespołu pojazdów: ciągnik siodłowy+ naczepa, ciągnik balastowy + przyczepa (w tonach)</w:t>
            </w: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1.802,00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1.871,00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1.940,00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2.079,00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2.426,00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2.287,00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2.287,00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2.633,00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3.188,00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naczepy,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działalnością rolniczą prowadzoną przez podatnika podatku rolnego - 416,00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naczepy,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działalnością rolniczą,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50"/>
        <w:gridCol w:w="45"/>
        <w:gridCol w:w="1290"/>
        <w:gridCol w:w="367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 masa całkowita zespołu pojazdów: naczepa/przyczepa + pojazd silnikowy (w tonach)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Jedna oś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1.247,00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1.247,00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1.386,00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1.386,00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1.455,00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1.455,00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1.317,00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1.317,00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1.455,00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1.455,00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1.525,00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1.802,00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1.802,00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1.802,00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2.010,00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2.010,00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autobusu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zależności od liczby miejsc do siedzenia poza kierowcą: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mniejszej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 1.525,00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równej lub wyższej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 1.733,00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XLIX/280/22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wysokości stawek podatku od środków transportowych na obszarze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Barbara Szewczyk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podstawie art. </w:t>
      </w:r>
      <w:r>
        <w:rPr>
          <w:szCs w:val="20"/>
        </w:rPr>
        <w:t>10</w:t>
      </w:r>
      <w:r>
        <w:rPr>
          <w:szCs w:val="20"/>
        </w:rPr>
        <w:t> ust. 1 ustawy z dnia 12 stycznia 1991 r. o podatkach i opłatach lokalnych, Rada Gminy jest uprawniona do określenia w drodze uchwały, wysokości stawek podatku od środków transportowych. W myśl art. 20 ust. 1 ww. ustawy, górne granice stawek kwotowych obowiązujące w danym roku podatkowym ulegają corocznie zmianie na następny rok podatkowy w stopniu odpowiadającym wskaźnikowi cen towarów i usług konsumpcyjnych w okresie pierwszego półrocza roku, w którym stawki ulegają zmianie, w stosunku do analogicznego okresu poprzedniego. W przedłożonej uchwale dla wszystkich przedmiotów opodatkowania zaproponowano niższe stawki podatku od środków transportowych od stawek określonych w Obwieszczeniu Ministra Finansów z dnia 21 lipca 2023 roku w sprawie górnych granic stawek kwotowych podatków i opłat lokalnych na rok 2024 (Monitor Polski rok 2023 poz. 774).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E55C9192-F16E-4849-98D1-5D483F788B9B.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E55C9192-F16E-4849-98D1-5D483F788B9B.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LXI/341/23 z dnia 29 listopada 2023 r.</dc:title>
  <dc:subject>w sprawie określenia wysokości stawek podatku od środków transportowych na obszarze Gminy Miejska Górka</dc:subject>
  <dc:creator>HP</dc:creator>
  <cp:lastModifiedBy>HP</cp:lastModifiedBy>
  <cp:revision>1</cp:revision>
  <dcterms:created xsi:type="dcterms:W3CDTF">2023-12-05T13:21:58Z</dcterms:created>
  <dcterms:modified xsi:type="dcterms:W3CDTF">2023-12-05T13:21:58Z</dcterms:modified>
  <cp:category>Akt prawny</cp:category>
</cp:coreProperties>
</file>