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Obwieszczenie</w:t>
      </w:r>
      <w:r>
        <w:rPr>
          <w:rFonts w:ascii="Times New Roman" w:eastAsia="Times New Roman" w:hAnsi="Times New Roman" w:cs="Times New Roman"/>
          <w:b/>
          <w:caps/>
          <w:sz w:val="22"/>
        </w:rPr>
        <w:t xml:space="preserve"> Nr 213/2023</w:t>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Miejskiej Górki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25 września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o wydaniu decyzji zezwalającej na prowadzenie działalności gospodarczej w zakresie opróżniania zbiorników bezodpływowych oraz przydomowych oczyszczalni ścieków i transportu nieczystości ciekłych</w:t>
      </w:r>
    </w:p>
    <w:p w:rsidR="00A77B3E">
      <w:pPr>
        <w:keepNext/>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104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107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1960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Kodeks postępowania administracyjnego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775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 w nawiązaniu do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2519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 xml:space="preserve">zawiadamiam </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mieszkańców, instytucje oraz podmioty gospodarcze działające na terenie Gminy Miejska Górka, 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25 września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 została wydana decyzja nr 2/2023 znak: WK.6233.2.2023 </w:t>
      </w:r>
      <w:r>
        <w:rPr>
          <w:rFonts w:ascii="Times New Roman" w:eastAsia="Times New Roman" w:hAnsi="Times New Roman" w:cs="Times New Roman"/>
          <w:b/>
          <w:i w:val="0"/>
          <w:caps w:val="0"/>
          <w:strike w:val="0"/>
          <w:color w:val="000000"/>
          <w:sz w:val="22"/>
          <w:u w:val="none" w:color="000000"/>
          <w:vertAlign w:val="baseline"/>
        </w:rPr>
        <w:t>o wydaniu zezwolenia na prowadzenie działalności gospodarczej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opróżniania zbiorników bezodpływowych oraz przydomowych oczyszczalni ścieków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transportu nieczystości ciekłych od właścicieli nieruchomości położonych na terenie Gminy Miejska Górka </w:t>
      </w:r>
      <w:r>
        <w:rPr>
          <w:rFonts w:ascii="Times New Roman" w:eastAsia="Times New Roman" w:hAnsi="Times New Roman" w:cs="Times New Roman"/>
          <w:b/>
          <w:i w:val="0"/>
          <w:caps w:val="0"/>
          <w:strike w:val="0"/>
          <w:color w:val="000000"/>
          <w:sz w:val="22"/>
          <w:u w:val="single" w:color="000000"/>
          <w:vertAlign w:val="baseline"/>
        </w:rPr>
        <w:t>na okres 10</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lat</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firmie:</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Grychowski Road Assistance Iwona i Piotr Grychowscy s.c.</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ul. Poznańska 11/5, 56-100 Wołów</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NIP: 988-015-35-67</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single" w:color="000000"/>
          <w:vertAlign w:val="baseline"/>
        </w:rPr>
        <w:t>Wydana decyzja z</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dniem 25 września 2023</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r. stała się prawomocna.</w:t>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single" w:color="000000"/>
          <w:vertAlign w:val="baseline"/>
        </w:rPr>
        <w:br/>
      </w:r>
      <w:r>
        <w:rPr>
          <w:rFonts w:ascii="Times New Roman" w:eastAsia="Times New Roman" w:hAnsi="Times New Roman" w:cs="Times New Roman"/>
          <w:b/>
          <w:i w:val="0"/>
          <w:caps w:val="0"/>
          <w:strike w:val="0"/>
          <w:color w:val="000000"/>
          <w:sz w:val="22"/>
          <w:u w:val="singl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Niniejsze obwieszczenie zostaje podane do publicznej wiadomości poprzez zamieszczenie na stronie Biuletynu Informacji Publicznej Urzędu Gminy Miejska Górka, na stronie internetowej Gminy Miejska Górka oraz wywieszenie na tablicy ogłoszeń Urzędu Gminy Miejska Górka.</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b w:val="0"/>
              </w:rPr>
              <w:t>z up. Burmistrza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t>Naczelnik Wydziału Komunalnego</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Jacek Stróżyk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spacing w:before="120" w:after="120" w:line="360" w:lineRule="auto"/>
        <w:ind w:left="5412"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obwieszczenia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213/2023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Burmistrza Miejskiej Górki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Miejska Górka, dn. 25.09.2023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283" w:right="0" w:hanging="28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WK. </w:t>
      </w:r>
      <w:r>
        <w:rPr>
          <w:rFonts w:ascii="Times New Roman" w:eastAsia="Times New Roman" w:hAnsi="Times New Roman" w:cs="Times New Roman"/>
          <w:b w:val="0"/>
          <w:i w:val="0"/>
          <w:caps w:val="0"/>
          <w:strike w:val="0"/>
          <w:color w:val="000000"/>
          <w:sz w:val="22"/>
          <w:u w:val="none" w:color="000000"/>
          <w:vertAlign w:val="baseline"/>
        </w:rPr>
        <w:t>6233.2.2023</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DECYZJA</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ZEZWOLENIE NA PROWADZENIE DZIAŁALNOŚCI GOSPODARCZEJ</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 ZAKRESIE OPRÓŻNIANIA ZBIORNIKÓW BEZODPŁYWOWYCH ORAZ PRZYDOMOWYCH OCZYSZCZALNI ŚCIEKÓW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TRANSPORTU NIECZYSTOŚCI CIEKŁYCH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 czerwca 1960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Kodeks postępowania administracyjnego (t.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 Dz.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775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1aa, 1b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 (t.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oraz rozporządzenia Ministra Środowiska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określenia wymagań jakie powinien spełniać przedsiębiorca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zezwolenia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299),  Uchwały nr XXVII/153/17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określenia wymagań, jakie powinien spełniać przedsiębiorca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zezwolenia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transportu nieczystości ciekłych na terenie Gminy Miejska Górka (Dz. Urz. Woj. Wlkp. 2018.1), po rozpatrzeniu wniosku firmy </w:t>
      </w:r>
      <w:r>
        <w:rPr>
          <w:rFonts w:ascii="Times New Roman" w:eastAsia="Times New Roman" w:hAnsi="Times New Roman" w:cs="Times New Roman"/>
          <w:b/>
          <w:i w:val="0"/>
          <w:caps w:val="0"/>
          <w:strike w:val="0"/>
          <w:color w:val="000000"/>
          <w:sz w:val="22"/>
          <w:u w:val="none" w:color="000000"/>
          <w:vertAlign w:val="baseline"/>
        </w:rPr>
        <w:t>Grychowski Road Assistance Iwona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Piotr Grychowscy s.c., ul. Poznańska 11/5, 56-100 Wołów</w:t>
      </w:r>
      <w:r>
        <w:rPr>
          <w:rFonts w:ascii="Times New Roman" w:eastAsia="Times New Roman" w:hAnsi="Times New Roman" w:cs="Times New Roman"/>
          <w:b w:val="0"/>
          <w:i w:val="0"/>
          <w:caps w:val="0"/>
          <w:strike w:val="0"/>
          <w:color w:val="000000"/>
          <w:sz w:val="22"/>
          <w:u w:val="none" w:color="000000"/>
          <w:vertAlign w:val="baseline"/>
        </w:rPr>
        <w:t xml:space="preserv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12.09.2023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(data wpływu: 14.09.2023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Burmistrz Miejskiej Górki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zezwala: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firmie Grychowski Road Assistance Iwona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Piotr Grychowscy s.c., ul. Poznańska 11/5, 56-100 Wołów na prowadzenie działalności gospodarczej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opróżniania zbiorników bezodpływowych oraz przydomowych oczyszczalni ścieków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transportu nieczystości ciekłych, na terenie gminy Miejska Górka na następujących warunkach: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Przedmiot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obszar działalności objętej zezwoleniem: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Firma </w:t>
      </w:r>
      <w:r>
        <w:rPr>
          <w:rFonts w:ascii="Times New Roman" w:eastAsia="Times New Roman" w:hAnsi="Times New Roman" w:cs="Times New Roman"/>
          <w:b/>
          <w:i w:val="0"/>
          <w:caps w:val="0"/>
          <w:strike w:val="0"/>
          <w:color w:val="000000"/>
          <w:sz w:val="22"/>
          <w:u w:val="none" w:color="000000"/>
          <w:vertAlign w:val="baseline"/>
        </w:rPr>
        <w:t>Grychowski Road Assistance Iwona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Piotr Grychowscy s.c., ul. Poznańska 11/5, 56-100 Wołów </w:t>
      </w:r>
      <w:r>
        <w:rPr>
          <w:rFonts w:ascii="Times New Roman" w:eastAsia="Times New Roman" w:hAnsi="Times New Roman" w:cs="Times New Roman"/>
          <w:b w:val="0"/>
          <w:i w:val="0"/>
          <w:caps w:val="0"/>
          <w:strike w:val="0"/>
          <w:color w:val="000000"/>
          <w:sz w:val="22"/>
          <w:u w:val="none" w:color="000000"/>
          <w:vertAlign w:val="baseline"/>
        </w:rPr>
        <w:t>może opróżniać nieczystości ciekłe ze zbiorników bezodpływowych oraz przydomowych oczyszczalni ścieków znajdujących się na terenie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Termin podjęcia działalności: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Przedsiębiorstwo może prowadzić działalność objętą zezwoleniem na terenie Gminy Miejska Górka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25.09.2023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Wymagania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jakości usług objętych zezwoleniem: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Usługi należy wykonywać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najwyższych jakościowo osiągnięć techniki,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 zanieczyszczenia środowiska, bez zagrożenia dla zdrowia ludzkiego oraz bez stosowania procesów lub metod, które mogą być szkodliwe dla środowiska.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Opróżnianie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 od właścicieli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będą prowadzone następującymi pojazdami: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single" w:color="000000"/>
          <w:vertAlign w:val="baseline"/>
        </w:rPr>
        <w:t>Samochody specjalne do czyszczenia kanalizacji-asenizacyjne: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MAN TGA , rok produkcji: 2005; nr rejestracyjny: DWL 70YK; poj. 12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w:t>
      </w:r>
      <w:r>
        <w:rPr>
          <w:rFonts w:ascii="Times New Roman" w:eastAsia="Times New Roman" w:hAnsi="Times New Roman" w:cs="Times New Roman"/>
          <w:b/>
          <w:i w:val="0"/>
          <w:caps w:val="0"/>
          <w:strike w:val="0"/>
          <w:color w:val="000000"/>
          <w:sz w:val="22"/>
          <w:u w:val="none" w:color="000000"/>
          <w:vertAlign w:val="superscript"/>
        </w:rPr>
        <w:t>3</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MAN TGM , rok produkcji: 2011; nr rejestracyjny: DWL JH65; poj. 9</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w:t>
      </w:r>
      <w:r>
        <w:rPr>
          <w:rFonts w:ascii="Times New Roman" w:eastAsia="Times New Roman" w:hAnsi="Times New Roman" w:cs="Times New Roman"/>
          <w:b/>
          <w:i w:val="0"/>
          <w:caps w:val="0"/>
          <w:strike w:val="0"/>
          <w:color w:val="000000"/>
          <w:sz w:val="22"/>
          <w:u w:val="none" w:color="000000"/>
          <w:vertAlign w:val="superscript"/>
        </w:rPr>
        <w:t>3</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MAN TGS , rok produkcji: 2009; nr rejestracyjny: DWL HL66; poj. 20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w:t>
      </w:r>
      <w:r>
        <w:rPr>
          <w:rFonts w:ascii="Times New Roman" w:eastAsia="Times New Roman" w:hAnsi="Times New Roman" w:cs="Times New Roman"/>
          <w:b/>
          <w:i w:val="0"/>
          <w:caps w:val="0"/>
          <w:strike w:val="0"/>
          <w:color w:val="000000"/>
          <w:sz w:val="22"/>
          <w:u w:val="none" w:color="000000"/>
          <w:vertAlign w:val="superscript"/>
        </w:rPr>
        <w:t>3</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Pojazdy służące do transportu nieczystości ciekłych muszą spełniać wymagania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wymagań dla pojazdów asenizacyjnych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193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1617).</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Pojazdy służące do prowadzenia działalności winny być trwale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czytelnie oznakowane, umożliwiające identyfikację przedsiębiorcy.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Pojazdy służące do transportu nieczystości ciekłych winny być myte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dezynfekowane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gwarantującą zapewnienie właściwego stanu sanitarnego.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Pojazdy muszą być zabezpieczone przed niekontrolowanym wydostaniem się na zewnątrz nieczystości ciekłych.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Niezbędne zabiegi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zakresu ochrony środowiska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ochrony sanitarnej wymagane po zakończeniu działalności objętej zezwoleniem: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 zakończeniu działalności objętej zezwoleniem należy wykonać następujące zabiegi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ochrony środowiska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sanitarnej: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przeprowadzić dezynsekcje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dezynfekcje pojazdów oraz pomieszczeń służących prowadzonej działalności;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poinformować Burmistrza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pisemnej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zakończeniu działalności objętej zezwoleniem;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cofnięcie zezwolenia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zwalnia firmy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wykonania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zezwoleniu obowiązków dotyczących wymagań sanitarnych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środowiska.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Inne wymagania szczególne wynikające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odrębnych przepisów,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tym wymagania dotyczące standardu sanitarnego wykonywania usług, ochrony środowiska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obowiązku prowadzenie odpowiedniej dokumentacji działalności objętej zezwoleniem.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Przedsiębiorca obowiązany jest przestrzegać przepisów ustawy Prawo ochrony środowiska,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odpadach oraz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 oraz rozporządzeń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 wykonawczych. Przedsiębiorca obowiązany jest przestrzegać przepisy sanitarne.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Powyższe przedsiębiorca realizuje poprzez:</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podmiot uprawniony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standardu sanitarnego jest zobowiązany do wykonywania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przewidziany zapisami regulaminu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Miejska Górka przyjętego uchwałą Nr XVIII/110/20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przyjęcia „Regulaminu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na terenie Gminy Miejska Górka”,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Przedsiębiorca zobowiązany jest do zawierania indywidualnych umów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właścicielami (użytkownikami) nieruchomości na opróżnianie zbiorników bezodpływowych oraz przydomowych oczyszczalni ścieków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 nieczystości ciekłych oraz wystawiania dowodów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 usług.</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podmiot zobowiązany jest do sporządzenia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dostarczenia Burmistrzowi Gminy Miejska Górka kwartalnych sprawozdań:</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sprawozdanie należy przekazywać Burmistrzowi Gminy Miejska Górka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końca miesiąca następującego po kwartale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Sprawozdanie powinno zawierać:</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rodzaju nieczystości ciekłych odebranych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obszaru gminy Miejska Górka,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informacje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sposobach zagospodarowania nieczystości ciekłych wraz ze wskazaniem stacji zlewnej, do której zostały przekazane odebrane nieczystości ciekłe,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liczbę właścicieli nieruchomości, od których odebrane nieczystości ciekłe,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 sprawozdań należy dołączyć wykaz właścicieli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objętym sprawozdaniem zawarł umowy na opróżnianie zbiorników bezodpływowych oraz przydomowych oczyszczalni ścieków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 nieczystości ciekłych oraz wykaz właścicieli,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którymi umowy te uległy rozwiązaniu lub wygasły (w wykazach zamieszcza się 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 lub nazwę oraz adres właścicieli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adres nieruchomości),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uprawniony podmiot jest zobowiązany udokumentować (ważna umową)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objętym zezwoleniem gotowość do odbioru nieczystości przez stacje zlewne tj.: stacja zlewna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oczyszczalni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Przedsiębiorca zobowiązany jest do przestrzegania: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-ustawy Prawo ochrona środowiska;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odpadach;</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przepisów sanitarnych.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Określa się następujące stacje zlewne, do których należy transportować nieczystości ciekłe: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Stacja zlewna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oczyszczalni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Zezwolenie wydaje się na okres 10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lat, licząc od dnia 25.09.2023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do dnia 24.09.2033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naruszenia warunków zezwolenia może ono zostać cofnięte bez odszkodowania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i w:val="0"/>
          <w:caps w:val="0"/>
          <w:strike w:val="0"/>
          <w:color w:val="000000"/>
          <w:sz w:val="22"/>
          <w:u w:val="none" w:color="000000"/>
          <w:vertAlign w:val="baseline"/>
        </w:rPr>
        <w:t>Przedsiębiorca jest zobowiązany niezwłocznie zgłosić Burmistrzowi Gminy Miejska Górka wszelkie zmiany danych określone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niniejszej decyzji</w:t>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p>
    <w:p w:rsidR="00A77B3E">
      <w:pPr>
        <w:keepNext w:val="0"/>
        <w:keepLines w:val="0"/>
        <w:spacing w:before="120" w:after="120" w:line="240" w:lineRule="auto"/>
        <w:ind w:left="0" w:right="0" w:firstLine="0"/>
        <w:jc w:val="center"/>
        <w:rPr>
          <w:rFonts w:ascii="Times New Roman" w:eastAsia="Times New Roman" w:hAnsi="Times New Roman" w:cs="Times New Roman"/>
          <w:b w:val="0"/>
          <w:i w:val="0"/>
          <w:caps w:val="0"/>
          <w:strike w:val="0"/>
          <w:color w:val="000000"/>
          <w:spacing w:val="20"/>
          <w:sz w:val="22"/>
          <w:u w:val="none" w:color="000000"/>
          <w:vertAlign w:val="baseline"/>
        </w:rPr>
      </w:pPr>
      <w:r>
        <w:rPr>
          <w:rFonts w:ascii="Times New Roman" w:eastAsia="Times New Roman" w:hAnsi="Times New Roman" w:cs="Times New Roman"/>
          <w:b/>
          <w:caps w:val="0"/>
          <w:spacing w:val="20"/>
          <w:w w:val="100"/>
          <w:sz w:val="22"/>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none" w:color="000000"/>
          <w:vertAlign w:val="baseline"/>
        </w:rPr>
        <w:t>Zgodnie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art.</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107</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 4</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Kodeksu postępowania administracyjnego odstąpiono od uzasadnienia, ponieważ decyzja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całości uwzględnia żądanie strony zawarte we wniosku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12.09.2023 roku (data wpływu: 14.09.2023</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r.).</w:t>
      </w:r>
      <w:r>
        <w:rPr>
          <w:rFonts w:ascii="Times New Roman" w:eastAsia="Times New Roman" w:hAnsi="Times New Roman" w:cs="Times New Roman"/>
          <w:b w:val="0"/>
          <w:i w:val="0"/>
          <w:caps w:val="0"/>
          <w:strike w:val="0"/>
          <w:color w:val="000000"/>
          <w:spacing w:val="0"/>
          <w:sz w:val="22"/>
          <w:u w:val="none" w:color="000000"/>
          <w:vertAlign w:val="baseline"/>
        </w:rPr>
        <w:tab/>
      </w: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pacing w:val="0"/>
          <w:sz w:val="22"/>
          <w:u w:val="none" w:color="000000"/>
          <w:vertAlign w:val="baseline"/>
        </w:rPr>
      </w:pPr>
      <w:r>
        <w:rPr>
          <w:rFonts w:ascii="Times New Roman" w:eastAsia="Times New Roman" w:hAnsi="Times New Roman" w:cs="Times New Roman"/>
          <w:b/>
          <w:i w:val="0"/>
          <w:caps w:val="0"/>
          <w:strike w:val="0"/>
          <w:color w:val="000000"/>
          <w:spacing w:val="0"/>
          <w:sz w:val="22"/>
          <w:u w:val="none" w:color="000000"/>
          <w:vertAlign w:val="baseline"/>
        </w:rPr>
        <w:t>Pouczenie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none" w:color="000000"/>
          <w:vertAlign w:val="baseline"/>
        </w:rPr>
        <w:t>Na podstawie art.</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127</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 xml:space="preserve">§1a Kodeksu postępowania administracyjnego, decyzja wydana </w:t>
      </w:r>
      <w:r>
        <w:rPr>
          <w:rFonts w:ascii="Times New Roman" w:eastAsia="Times New Roman" w:hAnsi="Times New Roman" w:cs="Times New Roman"/>
          <w:b w:val="0"/>
          <w:i w:val="0"/>
          <w:caps w:val="0"/>
          <w:strike w:val="0"/>
          <w:color w:val="000000"/>
          <w:spacing w:val="0"/>
          <w:sz w:val="22"/>
          <w:u w:val="none" w:color="000000"/>
          <w:vertAlign w:val="baseline"/>
        </w:rPr>
        <w:br/>
      </w:r>
      <w:r>
        <w:rPr>
          <w:rFonts w:ascii="Times New Roman" w:eastAsia="Times New Roman" w:hAnsi="Times New Roman" w:cs="Times New Roman"/>
          <w:b w:val="0"/>
          <w:i w:val="0"/>
          <w:caps w:val="0"/>
          <w:strike w:val="0"/>
          <w:color w:val="000000"/>
          <w:spacing w:val="0"/>
          <w:sz w:val="22"/>
          <w:u w:val="none" w:color="000000"/>
          <w:vertAlign w:val="baseline"/>
        </w:rPr>
        <w:t>w pierwszej instancji, od której uzasadnienia odstąpiono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powodu uwzględnienia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 xml:space="preserve">całości żądania strony, </w:t>
      </w:r>
      <w:r>
        <w:rPr>
          <w:rFonts w:ascii="Times New Roman" w:eastAsia="Times New Roman" w:hAnsi="Times New Roman" w:cs="Times New Roman"/>
          <w:b/>
          <w:i w:val="0"/>
          <w:caps w:val="0"/>
          <w:strike w:val="0"/>
          <w:color w:val="000000"/>
          <w:spacing w:val="0"/>
          <w:sz w:val="22"/>
          <w:u w:val="single" w:color="000000"/>
          <w:vertAlign w:val="baseline"/>
        </w:rPr>
        <w:t>jest ostateczna</w:t>
      </w:r>
      <w:r>
        <w:rPr>
          <w:rFonts w:ascii="Times New Roman" w:eastAsia="Times New Roman" w:hAnsi="Times New Roman" w:cs="Times New Roman"/>
          <w:b/>
          <w:i w:val="0"/>
          <w:caps w:val="0"/>
          <w:strike w:val="0"/>
          <w:color w:val="000000"/>
          <w:spacing w:val="0"/>
          <w:sz w:val="22"/>
          <w:u w:val="none" w:color="000000"/>
          <w:vertAlign w:val="baseline"/>
        </w:rPr>
        <w:t>.</w:t>
      </w:r>
      <w:r>
        <w:rPr>
          <w:rFonts w:ascii="Times New Roman" w:eastAsia="Times New Roman" w:hAnsi="Times New Roman" w:cs="Times New Roman"/>
          <w:b/>
          <w:i w:val="0"/>
          <w:caps w:val="0"/>
          <w:strike w:val="0"/>
          <w:color w:val="000000"/>
          <w:spacing w:val="0"/>
          <w:sz w:val="22"/>
          <w:u w:val="none" w:color="000000"/>
          <w:vertAlign w:val="baseline"/>
        </w:rPr>
        <w:tab/>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i w:val="0"/>
          <w:caps w:val="0"/>
          <w:strike w:val="0"/>
          <w:color w:val="000000"/>
          <w:spacing w:val="0"/>
          <w:sz w:val="22"/>
          <w:u w:val="none" w:color="000000"/>
          <w:vertAlign w:val="baseline"/>
        </w:rPr>
        <w:t>Jednocześnie informuje, że: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pacing w:val="0"/>
          <w:sz w:val="22"/>
          <w:u w:val="none" w:color="000000"/>
          <w:vertAlign w:val="baseline"/>
        </w:rPr>
        <w:t>Zezwolenie może być cofnięte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części lub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całości, bez odszkodowania,</w:t>
      </w:r>
      <w:r>
        <w:rPr>
          <w:rFonts w:ascii="Times New Roman" w:eastAsia="Times New Roman" w:hAnsi="Times New Roman" w:cs="Times New Roman"/>
          <w:b w:val="0"/>
          <w:i w:val="0"/>
          <w:caps w:val="0"/>
          <w:strike w:val="0"/>
          <w:color w:val="000000"/>
          <w:spacing w:val="0"/>
          <w:sz w:val="22"/>
          <w:u w:val="none" w:color="000000"/>
          <w:vertAlign w:val="baseline"/>
        </w:rPr>
        <w:br/>
      </w:r>
      <w:r>
        <w:rPr>
          <w:rFonts w:ascii="Times New Roman" w:eastAsia="Times New Roman" w:hAnsi="Times New Roman" w:cs="Times New Roman"/>
          <w:b w:val="0"/>
          <w:i w:val="0"/>
          <w:caps w:val="0"/>
          <w:strike w:val="0"/>
          <w:color w:val="000000"/>
          <w:spacing w:val="0"/>
          <w:sz w:val="22"/>
          <w:u w:val="none" w:color="000000"/>
          <w:vertAlign w:val="baseline"/>
        </w:rPr>
        <w:t>w przypadku, gdy uprawniony pomimo wezwania nie</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zachowuje określonych warunków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zezwoleniu.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pacing w:val="0"/>
          <w:sz w:val="22"/>
          <w:u w:val="none" w:color="000000"/>
          <w:vertAlign w:val="baseline"/>
        </w:rPr>
        <w:t>Cofnięcie zezwolenia nie</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zwalnia uprawnionego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wykonania obowiązków określonych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zezwoleniu dotyczących wymagań sanitarnych i</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ochrony środowiska.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pacing w:val="0"/>
          <w:sz w:val="22"/>
          <w:u w:val="none" w:color="000000"/>
          <w:vertAlign w:val="baseline"/>
        </w:rPr>
        <w:t>Pobrano opłatę skarbową za wydanie zezwolenia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kwocie 107,00</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zł zgodnie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ustawą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dnia 16</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listopada 2006</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r. o</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opłacie skarbowej (t.</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j. Dz.U.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2022</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r. poz.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2142</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ze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pacing w:val="0"/>
          <w:sz w:val="22"/>
          <w:u w:val="none" w:color="000000"/>
          <w:vertAlign w:val="baseline"/>
        </w:rPr>
        <w:t>Niniejsza decyzja zostanie podana do publicznej wiadomości poprzez zamieszczenie jej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Publicznym Wykazie,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Biuletynie Informacji Publicznej (BIP) prowadzonym przez Urząd Gminy Miejska Górka.</w:t>
      </w:r>
      <w:r>
        <w:rPr>
          <w:rFonts w:ascii="Times New Roman" w:eastAsia="Times New Roman" w:hAnsi="Times New Roman" w:cs="Times New Roman"/>
          <w:b w:val="0"/>
          <w:i w:val="0"/>
          <w:caps w:val="0"/>
          <w:strike w:val="0"/>
          <w:color w:val="000000"/>
          <w:spacing w:val="0"/>
          <w:sz w:val="22"/>
          <w:u w:val="none" w:color="000000"/>
          <w:vertAlign w:val="baseline"/>
        </w:rPr>
        <w:tab/>
      </w:r>
      <w:r>
        <w:rPr>
          <w:rFonts w:ascii="Times New Roman" w:eastAsia="Times New Roman" w:hAnsi="Times New Roman" w:cs="Times New Roman"/>
          <w:b w:val="0"/>
          <w:i w:val="0"/>
          <w:caps w:val="0"/>
          <w:strike w:val="0"/>
          <w:color w:val="000000"/>
          <w:spacing w:val="0"/>
          <w:sz w:val="22"/>
          <w:u w:val="none" w:color="000000"/>
          <w:vertAlign w:val="baseline"/>
        </w:rPr>
        <w:br/>
      </w: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single" w:color="000000"/>
          <w:vertAlign w:val="baseline"/>
        </w:rPr>
        <w:t>Otrzymują: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pacing w:val="0"/>
          <w:sz w:val="22"/>
          <w:u w:val="none" w:color="000000"/>
          <w:vertAlign w:val="baseline"/>
        </w:rPr>
        <w:t>Wnioskodawca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pacing w:val="0"/>
          <w:sz w:val="22"/>
          <w:u w:val="none" w:color="000000"/>
          <w:vertAlign w:val="baseline"/>
        </w:rPr>
        <w:t>BIP Urzędu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pacing w:val="0"/>
          <w:sz w:val="22"/>
          <w:u w:val="none" w:color="000000"/>
          <w:vertAlign w:val="baseline"/>
        </w:rPr>
        <w:t>a/a</w:t>
      </w:r>
    </w:p>
    <w:sectPr>
      <w:footerReference w:type="default" r:id="rId5"/>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A9FAEECA-253F-49CE-8C5D-01E85AC633D0. Ogłoszony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A9FAEECA-253F-49CE-8C5D-01E85AC633D0. Ogłoszony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Nr 213/2023 z dnia 25 września 2023 r.</dc:title>
  <dc:subject>o wydaniu decyzji zezwalającej na prowadzenie działalności gospodarczej w^zakresie opróżniania zbiorników bezodpływowych oraz przydomowych oczyszczalni ścieków i^transportu nieczystości ciekłych</dc:subject>
  <dc:creator>HP</dc:creator>
  <cp:lastModifiedBy>HP</cp:lastModifiedBy>
  <cp:revision>1</cp:revision>
  <dcterms:created xsi:type="dcterms:W3CDTF">2023-09-25T13:44:35Z</dcterms:created>
  <dcterms:modified xsi:type="dcterms:W3CDTF">2023-09-25T13:44:35Z</dcterms:modified>
  <cp:category>Akt prawny</cp:category>
</cp:coreProperties>
</file>