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367/2023</w:t>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Miejskiej Górki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20 grudnia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wprowadzenia Planu Audytu Wewnętrznego w Gminie Miejska Górka na 2024 rok</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31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 40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283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2009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finansach publicznych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1270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oraz rozporządzeniem Ministra Finansów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audytu wewnętrznego oraz informacji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pracy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wynikach tego audytu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506),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Zatwierdza się Plan Audytu Wewnętrznego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Miejska Górka stanowiący załącznik do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niniejszego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zarządzenia powierza się audytorowi wewnętrznemu (usługodawcy).</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Zarządzenie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podpisania.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Karol Skrzypczak</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657"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zarządzenia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367/2023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Burmistrza Miejskiej Górki</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grudnia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Plan audytu wewnętrznego na 2024</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rok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auto"/>
          <w:sz w:val="22"/>
          <w:u w:val="none"/>
          <w:vertAlign w:val="baseline"/>
        </w:rPr>
        <w:t xml:space="preserve">Informacje istotne dla przeprowadzenia audytu wewnętrznego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5"/>
        <w:gridCol w:w="4141"/>
        <w:gridCol w:w="52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4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 xml:space="preserve">Nazwa jednostki, w której zatrudniony jest audytor wewnętrzny </w:t>
            </w:r>
          </w:p>
        </w:tc>
        <w:tc>
          <w:tcPr>
            <w:tcW w:w="52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b/>
                <w:sz w:val="20"/>
              </w:rPr>
              <w:t>Gmina Miejska Górka</w:t>
            </w:r>
          </w:p>
        </w:tc>
      </w:tr>
      <w:tr>
        <w:tblPrEx>
          <w:tblW w:w="5000" w:type="pct"/>
          <w:tblLayout w:type="fixed"/>
          <w:tblCellMar>
            <w:left w:w="108" w:type="dxa"/>
            <w:right w:w="108" w:type="dxa"/>
          </w:tblCellMar>
        </w:tblPrEx>
        <w:trPr>
          <w:trHeight w:hRule="auto" w:val="0"/>
        </w:trPr>
        <w:tc>
          <w:tcPr>
            <w:tcW w:w="6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4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 xml:space="preserve">Wykaz jednostek, w których audytor wewnętrzny prowadzi audyt wewnętrzny </w:t>
            </w:r>
          </w:p>
        </w:tc>
        <w:tc>
          <w:tcPr>
            <w:tcW w:w="52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Urząd Miejski</w:t>
            </w:r>
          </w:p>
          <w:p>
            <w:pPr>
              <w:jc w:val="left"/>
            </w:pPr>
            <w:r>
              <w:rPr>
                <w:sz w:val="20"/>
              </w:rPr>
              <w:t>Ośrodek Pomocy Społecznej</w:t>
            </w:r>
          </w:p>
          <w:p>
            <w:pPr>
              <w:jc w:val="left"/>
            </w:pPr>
            <w:r>
              <w:rPr>
                <w:sz w:val="20"/>
              </w:rPr>
              <w:t>Ośrodek Kultury, Sportu i Aktywności Lokalnej</w:t>
            </w:r>
          </w:p>
          <w:p>
            <w:pPr>
              <w:jc w:val="left"/>
            </w:pPr>
            <w:r>
              <w:rPr>
                <w:sz w:val="20"/>
              </w:rPr>
              <w:t>Centrum Usług Wspólnych</w:t>
            </w:r>
          </w:p>
          <w:p>
            <w:pPr>
              <w:jc w:val="left"/>
            </w:pPr>
            <w:r>
              <w:rPr>
                <w:sz w:val="20"/>
              </w:rPr>
              <w:t xml:space="preserve">Zespół Szkół w Miejskiej Górce </w:t>
            </w:r>
          </w:p>
          <w:p>
            <w:pPr>
              <w:jc w:val="left"/>
            </w:pPr>
            <w:r>
              <w:rPr>
                <w:sz w:val="20"/>
              </w:rPr>
              <w:t>Zespół Szkolno – Przedszkolny w Konarach</w:t>
            </w:r>
          </w:p>
          <w:p>
            <w:pPr>
              <w:jc w:val="left"/>
            </w:pPr>
            <w:r>
              <w:rPr>
                <w:sz w:val="20"/>
              </w:rPr>
              <w:t>Zespół Szkół w Dłoni</w:t>
            </w:r>
          </w:p>
          <w:p>
            <w:pPr>
              <w:jc w:val="left"/>
            </w:pPr>
            <w:r>
              <w:rPr>
                <w:sz w:val="20"/>
              </w:rPr>
              <w:t>Szkoła Podstawowa w Sobiałkowie</w:t>
            </w:r>
          </w:p>
          <w:p>
            <w:pPr>
              <w:jc w:val="left"/>
            </w:pPr>
            <w:r>
              <w:rPr>
                <w:sz w:val="20"/>
              </w:rPr>
              <w:t xml:space="preserve">Przedszkole w Miejskiej Górce </w:t>
            </w:r>
          </w:p>
        </w:tc>
      </w:tr>
      <w:tr>
        <w:tblPrEx>
          <w:tblW w:w="5000" w:type="pct"/>
          <w:tblLayout w:type="fixed"/>
          <w:tblCellMar>
            <w:left w:w="108" w:type="dxa"/>
            <w:right w:w="108" w:type="dxa"/>
          </w:tblCellMar>
        </w:tblPrEx>
        <w:trPr>
          <w:trHeight w:hRule="auto" w:val="0"/>
        </w:trPr>
        <w:tc>
          <w:tcPr>
            <w:tcW w:w="6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4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Liczba osób zatrudnionych na stanowisku audytora wewnętrznego</w:t>
            </w:r>
          </w:p>
        </w:tc>
        <w:tc>
          <w:tcPr>
            <w:tcW w:w="52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Usługa zlecona</w:t>
            </w:r>
          </w:p>
        </w:tc>
      </w:tr>
      <w:tr>
        <w:tblPrEx>
          <w:tblW w:w="5000" w:type="pct"/>
          <w:tblLayout w:type="fixed"/>
          <w:tblCellMar>
            <w:left w:w="108" w:type="dxa"/>
            <w:right w:w="108" w:type="dxa"/>
          </w:tblCellMar>
        </w:tblPrEx>
        <w:trPr>
          <w:trHeight w:val="1640"/>
        </w:trPr>
        <w:tc>
          <w:tcPr>
            <w:tcW w:w="6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sz w:val="20"/>
              </w:rPr>
              <w:t>4</w:t>
            </w:r>
          </w:p>
        </w:tc>
        <w:tc>
          <w:tcPr>
            <w:tcW w:w="4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Inne informacje istotne dla przeprowadzenia audytu wewnętrznego, uwzględniające specyfikę jednostki</w:t>
            </w:r>
          </w:p>
        </w:tc>
        <w:tc>
          <w:tcPr>
            <w:tcW w:w="52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both"/>
            </w:pPr>
            <w:r>
              <w:rPr>
                <w:sz w:val="20"/>
              </w:rPr>
              <w:t>W Urzędzie Miejskim funkcjonują:</w:t>
            </w:r>
          </w:p>
          <w:p>
            <w:pPr>
              <w:jc w:val="both"/>
            </w:pPr>
            <w:r>
              <w:rPr>
                <w:sz w:val="20"/>
              </w:rPr>
              <w:t>Wydziały i Referat (komórki organizacyjne) odpowiedzialne za wydzielone merytorycznie sprawy</w:t>
            </w:r>
          </w:p>
        </w:tc>
      </w:tr>
      <w:tr>
        <w:tblPrEx>
          <w:tblW w:w="5000" w:type="pct"/>
          <w:tblLayout w:type="fixed"/>
          <w:tblCellMar>
            <w:left w:w="108" w:type="dxa"/>
            <w:right w:w="108" w:type="dxa"/>
          </w:tblCellMar>
        </w:tblPrEx>
        <w:trPr>
          <w:trHeight w:hRule="auto" w:val="0"/>
        </w:trPr>
        <w:tc>
          <w:tcPr>
            <w:tcW w:w="6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5.</w:t>
            </w:r>
          </w:p>
        </w:tc>
        <w:tc>
          <w:tcPr>
            <w:tcW w:w="4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Zadania jednostki</w:t>
            </w:r>
          </w:p>
        </w:tc>
        <w:tc>
          <w:tcPr>
            <w:tcW w:w="52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Gmina Miejska Górka wykonuje zadania określone ustawą z dnia 8 marca 1990r. o samorządzie gminnym (t.j. Dz. U. 2023r. poz. 40 z późn. zm.), wykorzystując Urząd Miejski w Miejskiej Górce oraz pozostałe jednostki organizacyjne w pkt. 4 niniejszego planu. Zadania Gminy są również wykonywane na podstawie umów zawartych z innymi podmiotami, w tym z organizacjami pozarządowymi. Urząd Miejski w Miejskiej Górce stanowi jednostkę pomocniczą Burmistrza, Rady oraz Komisji Rady. Podstawowym celem funkcjonowania Gminy jest zaspokajanie zbiorowych potrzeb społeczności lokalnej. Celem Gminy, jako jednostki samorządu terytorialnego oraz jednostki sektora finansów publicznych jest:</w:t>
            </w:r>
          </w:p>
          <w:p>
            <w:pPr>
              <w:jc w:val="both"/>
            </w:pPr>
            <w:r>
              <w:rPr>
                <w:sz w:val="20"/>
              </w:rPr>
              <w:t>- wykonywanie obowiązków nałożonych na samorząd przez system prawny,</w:t>
            </w:r>
          </w:p>
          <w:p>
            <w:pPr>
              <w:jc w:val="both"/>
            </w:pPr>
            <w:r>
              <w:rPr>
                <w:sz w:val="20"/>
              </w:rPr>
              <w:t>- stałe podnoszenie jakości dostarczanych usług,</w:t>
            </w:r>
          </w:p>
          <w:p>
            <w:pPr>
              <w:jc w:val="both"/>
            </w:pPr>
            <w:r>
              <w:rPr>
                <w:sz w:val="20"/>
              </w:rPr>
              <w:t>- efektywne gromadzenie środków publicznych,</w:t>
            </w:r>
          </w:p>
          <w:p>
            <w:pPr>
              <w:jc w:val="both"/>
            </w:pPr>
            <w:r>
              <w:rPr>
                <w:sz w:val="20"/>
              </w:rPr>
              <w:t>- efektywne wykorzystanie zasobów i wydatkowanie środków,</w:t>
            </w:r>
          </w:p>
          <w:p>
            <w:pPr>
              <w:jc w:val="both"/>
            </w:pPr>
            <w:r>
              <w:rPr>
                <w:sz w:val="20"/>
              </w:rPr>
              <w:t>- dbałość i staranność w gospodarowaniu mieniem i infrastrukturą publiczną,</w:t>
            </w:r>
          </w:p>
          <w:p>
            <w:pPr>
              <w:jc w:val="both"/>
            </w:pPr>
            <w:r>
              <w:rPr>
                <w:sz w:val="20"/>
              </w:rPr>
              <w:t>- przejrzystość i jawność zapewniająca pełny dostęp mieszkańców do informacji,</w:t>
            </w:r>
          </w:p>
          <w:p>
            <w:pPr>
              <w:jc w:val="both"/>
            </w:pPr>
            <w:r>
              <w:rPr>
                <w:sz w:val="20"/>
              </w:rPr>
              <w:t>- dbałość o dobrą reputację i pozytywną ocenę pracy przez społeczność lokalną.</w:t>
            </w:r>
          </w:p>
          <w:p>
            <w:pPr>
              <w:jc w:val="both"/>
            </w:pPr>
            <w:r>
              <w:rPr>
                <w:sz w:val="20"/>
              </w:rPr>
              <w:t>Kierownikiem Urzędu Miejskiego jest Burmistrz. Burmistrz wykonuje zadania przy pomocy swojego Zastępcy, Sekretarza oraz Skarbnika. Burmistrz zapewnia sprawne realizowanie zadań gminy oraz stanowi zaplecze merytoryczne i organizacyjne dla Rady Gminy.</w:t>
            </w:r>
          </w:p>
          <w:p>
            <w:pPr>
              <w:jc w:val="both"/>
            </w:pPr>
            <w:r>
              <w:rPr>
                <w:sz w:val="20"/>
                <w:u w:val="single"/>
              </w:rPr>
              <w:t>Gmina Miejska Górka wykonuje w szczególności zadania:</w:t>
            </w:r>
          </w:p>
          <w:p>
            <w:pPr>
              <w:jc w:val="both"/>
            </w:pPr>
            <w:r>
              <w:rPr>
                <w:sz w:val="20"/>
              </w:rPr>
              <w:t>-własne,</w:t>
            </w:r>
          </w:p>
          <w:p>
            <w:pPr>
              <w:jc w:val="both"/>
            </w:pPr>
            <w:r>
              <w:rPr>
                <w:sz w:val="20"/>
              </w:rPr>
              <w:t>- zlecone,</w:t>
            </w:r>
          </w:p>
          <w:p>
            <w:pPr>
              <w:jc w:val="both"/>
            </w:pPr>
            <w:r>
              <w:rPr>
                <w:sz w:val="20"/>
              </w:rPr>
              <w:t>- na podstawie porozumienia z organami administracji rządowej (zadania powierzone),</w:t>
            </w:r>
          </w:p>
          <w:p>
            <w:pPr>
              <w:jc w:val="both"/>
            </w:pPr>
            <w:r>
              <w:rPr>
                <w:sz w:val="20"/>
              </w:rPr>
              <w:t>- publiczne powierzone Gminie w drodze porozumienia komunalnego zawartego z powiatem, które nie zostały powierzone miejsko-gminnym jednostkom organizacyjnym, związkom komunalnym lub przekazane innym podmiotom na podstawie umów.</w:t>
            </w:r>
          </w:p>
          <w:p>
            <w:pPr>
              <w:jc w:val="both"/>
            </w:pPr>
            <w:r>
              <w:rPr>
                <w:sz w:val="20"/>
                <w:u w:val="single"/>
              </w:rPr>
              <w:t>Zadania własne dotyczą spraw:</w:t>
            </w:r>
          </w:p>
          <w:p>
            <w:pPr>
              <w:jc w:val="both"/>
            </w:pPr>
            <w:r>
              <w:t>1)</w:t>
            </w:r>
            <w:r>
              <w:rPr>
                <w:sz w:val="20"/>
              </w:rPr>
              <w:t>ładu przestrzennego, gospodarki nieruchomościami, ochrony środowiska i przyrody oraz gospodarki wodnej,</w:t>
            </w:r>
          </w:p>
          <w:p>
            <w:pPr>
              <w:jc w:val="both"/>
            </w:pPr>
            <w:r>
              <w:t>2)</w:t>
            </w:r>
            <w:r>
              <w:rPr>
                <w:sz w:val="20"/>
              </w:rPr>
              <w:t>gminnych dróg, ulic, mostów, placów oraz organizacji ruchu drogowego,</w:t>
            </w:r>
          </w:p>
          <w:p>
            <w:pPr>
              <w:jc w:val="both"/>
            </w:pPr>
            <w:r>
              <w:t>3)</w:t>
            </w:r>
            <w:r>
              <w:rPr>
                <w:sz w:val="20"/>
              </w:rPr>
              <w:t>wodociągów i zaopatrzenia w wodę, kanalizacji, usuwania i oczyszczania ścieków komunalnych, utrzymania czystości i porządku oraz urządzeń sanitarnych, wysypisk i unieszkodliwiania odpadów komunalnych, zaopatrzenia w energię elektryczną i cieplną oraz gaz,</w:t>
            </w:r>
          </w:p>
          <w:p>
            <w:pPr>
              <w:jc w:val="both"/>
            </w:pPr>
            <w:r>
              <w:t>4)</w:t>
            </w:r>
            <w:r>
              <w:rPr>
                <w:sz w:val="20"/>
              </w:rPr>
              <w:t>lokalnego transportu zbiorowego,</w:t>
            </w:r>
          </w:p>
          <w:p>
            <w:pPr>
              <w:jc w:val="both"/>
            </w:pPr>
            <w:r>
              <w:t>5)</w:t>
            </w:r>
            <w:r>
              <w:rPr>
                <w:sz w:val="20"/>
              </w:rPr>
              <w:t>ochrony zdrowia,</w:t>
            </w:r>
          </w:p>
          <w:p>
            <w:pPr>
              <w:jc w:val="both"/>
            </w:pPr>
            <w:r>
              <w:t>6)</w:t>
            </w:r>
            <w:r>
              <w:rPr>
                <w:sz w:val="20"/>
              </w:rPr>
              <w:t>pomocy społecznej,</w:t>
            </w:r>
          </w:p>
          <w:p>
            <w:pPr>
              <w:jc w:val="both"/>
            </w:pPr>
            <w:r>
              <w:t>7)</w:t>
            </w:r>
            <w:r>
              <w:rPr>
                <w:sz w:val="20"/>
              </w:rPr>
              <w:t>gminnego budownictwa mieszkaniowego,</w:t>
            </w:r>
          </w:p>
          <w:p>
            <w:pPr>
              <w:jc w:val="both"/>
            </w:pPr>
            <w:r>
              <w:t>8)</w:t>
            </w:r>
            <w:r>
              <w:rPr>
                <w:sz w:val="20"/>
              </w:rPr>
              <w:t>edukacji publicznej,</w:t>
            </w:r>
          </w:p>
          <w:p>
            <w:pPr>
              <w:jc w:val="both"/>
            </w:pPr>
            <w:r>
              <w:t>9)</w:t>
            </w:r>
            <w:r>
              <w:rPr>
                <w:sz w:val="20"/>
              </w:rPr>
              <w:t>kultury, w tym bibliotek gminnych i innych placówek upowszechniania kultury,</w:t>
            </w:r>
          </w:p>
          <w:p>
            <w:pPr>
              <w:jc w:val="both"/>
            </w:pPr>
            <w:r>
              <w:t>10)</w:t>
            </w:r>
            <w:r>
              <w:rPr>
                <w:sz w:val="20"/>
              </w:rPr>
              <w:t>kultury fizycznej i turystyki, w tym terenów rekreacyjnych i urządzeń sportowych,</w:t>
            </w:r>
          </w:p>
          <w:p>
            <w:pPr>
              <w:jc w:val="both"/>
            </w:pPr>
            <w:r>
              <w:t>11)</w:t>
            </w:r>
            <w:r>
              <w:rPr>
                <w:sz w:val="20"/>
              </w:rPr>
              <w:t>targowisk i hal targowych,</w:t>
            </w:r>
          </w:p>
          <w:p>
            <w:pPr>
              <w:jc w:val="both"/>
            </w:pPr>
            <w:r>
              <w:t>12)</w:t>
            </w:r>
            <w:r>
              <w:rPr>
                <w:sz w:val="20"/>
              </w:rPr>
              <w:t>zieleni gminnej i zadrzewień,</w:t>
            </w:r>
          </w:p>
          <w:p>
            <w:pPr>
              <w:jc w:val="both"/>
            </w:pPr>
            <w:r>
              <w:t>13)</w:t>
            </w:r>
            <w:r>
              <w:rPr>
                <w:sz w:val="20"/>
              </w:rPr>
              <w:t>cmentarzy gminnych,</w:t>
            </w:r>
          </w:p>
          <w:p>
            <w:pPr>
              <w:jc w:val="both"/>
            </w:pPr>
            <w:r>
              <w:t>14)</w:t>
            </w:r>
            <w:r>
              <w:rPr>
                <w:sz w:val="20"/>
              </w:rPr>
              <w:t>porządku publicznego i bezpieczeństwa obywateli oraz ochrony przeciwpożarowej i przeciwpowodziowej, w tym wyposażenia i utrzymania gminnego magazynu przeciwpowodziowego,</w:t>
            </w:r>
          </w:p>
          <w:p>
            <w:pPr>
              <w:jc w:val="both"/>
            </w:pPr>
            <w:r>
              <w:t>15)</w:t>
            </w:r>
            <w:r>
              <w:rPr>
                <w:sz w:val="20"/>
              </w:rPr>
              <w:t>utrzymania gminnych obiektów i urządzeń użyteczności publicznej oraz obiektów administracyjnych,</w:t>
            </w:r>
          </w:p>
          <w:p>
            <w:pPr>
              <w:jc w:val="both"/>
            </w:pPr>
            <w:r>
              <w:t>16)</w:t>
            </w:r>
            <w:r>
              <w:rPr>
                <w:sz w:val="20"/>
              </w:rPr>
              <w:t>polityki prorodzinnej, w tym zapewnienia kobietom w ciąży opieki socjalnej, medycznej i prawnej,</w:t>
            </w:r>
          </w:p>
          <w:p>
            <w:pPr>
              <w:jc w:val="both"/>
            </w:pPr>
            <w:r>
              <w:t>17)</w:t>
            </w:r>
            <w:r>
              <w:rPr>
                <w:sz w:val="20"/>
              </w:rPr>
              <w:t>wspierania i upowszechniania idei samorządowej,</w:t>
            </w:r>
          </w:p>
          <w:p>
            <w:pPr>
              <w:jc w:val="both"/>
            </w:pPr>
            <w:r>
              <w:t>18)</w:t>
            </w:r>
            <w:r>
              <w:rPr>
                <w:sz w:val="20"/>
              </w:rPr>
              <w:t>promocji Gminy,</w:t>
            </w:r>
          </w:p>
          <w:p>
            <w:pPr>
              <w:jc w:val="both"/>
            </w:pPr>
            <w:r>
              <w:t>19)</w:t>
            </w:r>
            <w:r>
              <w:rPr>
                <w:sz w:val="20"/>
              </w:rPr>
              <w:t>współpracy z organizacjami pozarządowymi,</w:t>
            </w:r>
          </w:p>
          <w:p>
            <w:pPr>
              <w:jc w:val="both"/>
            </w:pPr>
            <w:r>
              <w:rPr>
                <w:sz w:val="20"/>
              </w:rPr>
              <w:t>współpracy ze społecznościami lokalnymi i regionalnymi innych państw.</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Analiza ryzyka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2.1.</w:t>
      </w:r>
      <w:r>
        <w:rPr>
          <w:rFonts w:ascii="Times New Roman" w:eastAsia="Times New Roman" w:hAnsi="Times New Roman" w:cs="Times New Roman"/>
          <w:b/>
          <w:i w:val="0"/>
          <w:caps w:val="0"/>
          <w:strike w:val="0"/>
          <w:color w:val="000000"/>
          <w:sz w:val="22"/>
          <w:u w:val="none" w:color="000000"/>
          <w:vertAlign w:val="baseline"/>
        </w:rPr>
        <w:t xml:space="preserve">Charakterystyka obszaru poddawanego audytowi wewnętrznemu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obszar poddawany audytowi wewnętrznemu będzie podlegał ocenie adekwatności, efektywności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skuteczności systemów zarządzania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kontroli finansowej. Ocena będzie obejmowała zgodność prowadzonej działalności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prawa oraz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jednostce audytowanej procedurami wewnętrznymi, dotyczącymi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efektywności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gospodarności podejmowanych działań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systemów zarządzania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wiarygodności sprawozdania finansowego oraz sprawozdania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wykonania budżetu.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przeprowadzenia analizy obszarów ryzyka zidentyfikowano wszystkie możliwe zadania audytowe oraz określono jednostki organizacyjne odpowiedzialne za prawidłowy przebieg danego procesu (wykonano Ocenę Potrzeb Audytu). Podczas identyfikacji obszarów ryzyka uwzględniono takie kryteria jak:</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zadania komórek organizacyjnych (referatów);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przepisy prawne dotyczące działania komórek organizacyjnych;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wyniki wcześniej przeprowadzonych audytów lub kontroli;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wyniki wcześniej dokonywanych ocen adekwatności, efektywności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skuteczności systemów kontroli,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kontroli finansowej;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wewnętrzne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zewnętrzne czynniki ryzyka mające wpływ na realizację celów komórek organizacyjnych;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liczbę, rodzaj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dokonywanych operacji finansowych;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możliwość dysponowania przez Urząd lub jednostki organizacyjne Gminy środkami pochodzącymi ze źródeł zagranicznych,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środkami pomocowymi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strukturalnymi Unii Europejskiej, ze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szczególnym uwzględnieniem wymogów dawcy,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liczbę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kwalifikacje pracowników komórek organizacyjnych Urzędu lub jednostek organizacyjnych Gminy, jak również przedstawione przez nich uwagi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spostrzeżenia;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działania komórek organizacyjnych, które mogą wpływać na opinię publiczną;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sprawozdania finansowe oraz sprawozdania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wykonania budżetu.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działalności, jaki poddawany jest audytowi wewnętrznemu to całość działań wykonywanych przez jednostki organizacyjne, gminne osoby prawne oraz procedury, które koordynowane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nadzorowane są</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przez odpowiednie wydziały. Służba społeczności lokalnej jest podstawowym celem działania administracji samorządowej. Służba ta powinna być wykonywana przede wszystkim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wyznaczonym przez ogólnie obowiązujące normy prawne;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zgodnym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możliwościami finansowymi przy maksymalnym wykorzystaniu środków zewnętrznych;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przy zapewnieniu celowego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efektywnego wykorzystania środków, którego celem jest ciągły rozwój Gminy.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Najważniejsze źródła zagrożeń dla realizacji celów można określić jako: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działanie niezgodne z</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prawem</w:t>
      </w:r>
      <w:r>
        <w:rPr>
          <w:rFonts w:ascii="Times New Roman" w:eastAsia="Times New Roman" w:hAnsi="Times New Roman" w:cs="Times New Roman"/>
          <w:b/>
          <w:i w:val="0"/>
          <w:caps w:val="0"/>
          <w:strike w:val="0"/>
          <w:color w:val="000000"/>
          <w:sz w:val="22"/>
          <w:u w:val="none" w:color="000000"/>
          <w:vertAlign w:val="baseline"/>
        </w:rPr>
        <w:t xml:space="preserve">– </w:t>
      </w:r>
      <w:r>
        <w:rPr>
          <w:rFonts w:ascii="Times New Roman" w:eastAsia="Times New Roman" w:hAnsi="Times New Roman" w:cs="Times New Roman"/>
          <w:b w:val="0"/>
          <w:i w:val="0"/>
          <w:caps w:val="0"/>
          <w:strike w:val="0"/>
          <w:color w:val="000000"/>
          <w:sz w:val="22"/>
          <w:u w:val="none" w:color="000000"/>
          <w:vertAlign w:val="baseline"/>
        </w:rPr>
        <w:t>należy przez to rozumieć sytuację, gdy administracja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wywiązuje się ze swoich prawem nałożonych obowiązków wobec państwa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wspólnoty;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niewiarygodne dane finansowe</w:t>
      </w:r>
      <w:r>
        <w:rPr>
          <w:rFonts w:ascii="Times New Roman" w:eastAsia="Times New Roman" w:hAnsi="Times New Roman" w:cs="Times New Roman"/>
          <w:b w:val="0"/>
          <w:i w:val="0"/>
          <w:caps w:val="0"/>
          <w:strike w:val="0"/>
          <w:color w:val="000000"/>
          <w:sz w:val="22"/>
          <w:u w:val="none" w:color="000000"/>
          <w:vertAlign w:val="baseline"/>
        </w:rPr>
        <w:t xml:space="preserve"> – czyli sytuacja, gdy prowadzona rachunkowość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 efektywnego zarządzania lub prezentuje dane niezgodne ze stanem faktycznym wynikającym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zarejestrowanych zdarzeń gospodarczych;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nieefektywność, marnotrawstwo środków</w:t>
      </w:r>
      <w:r>
        <w:rPr>
          <w:rFonts w:ascii="Times New Roman" w:eastAsia="Times New Roman" w:hAnsi="Times New Roman" w:cs="Times New Roman"/>
          <w:b w:val="0"/>
          <w:i w:val="0"/>
          <w:caps w:val="0"/>
          <w:strike w:val="0"/>
          <w:color w:val="000000"/>
          <w:sz w:val="22"/>
          <w:u w:val="none" w:color="000000"/>
          <w:vertAlign w:val="baseline"/>
        </w:rPr>
        <w:t>– to jest sytuacja,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administracja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opracowała kryteriów dla oceny celowości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narzędzi do badań efektywności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gromadzeniu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wydatkowaniu środków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prowadzi takich badań;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nieprzejrzystość, podatność na korupcję</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sytuację, gdy sposób działania, stosowane procedury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dostatecznie przejrzyste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zabezpieczone przed naciskami korupcyjnymi, zagrożona jest legalność działań;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niezadowolenie mieszkańców (klientów)</w:t>
      </w:r>
      <w:r>
        <w:rPr>
          <w:rFonts w:ascii="Times New Roman" w:eastAsia="Times New Roman" w:hAnsi="Times New Roman" w:cs="Times New Roman"/>
          <w:b w:val="0"/>
          <w:i w:val="0"/>
          <w:caps w:val="0"/>
          <w:strike w:val="0"/>
          <w:color w:val="000000"/>
          <w:sz w:val="22"/>
          <w:u w:val="none" w:color="000000"/>
          <w:vertAlign w:val="baseline"/>
        </w:rPr>
        <w:t xml:space="preserve"> – ma miejsce wówczas, gdy administracja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bada opinii mieszkańców podczas planowania zadań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wyznaczania celów, ani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gromadzi ocen mieszkańców (klientów) dotyczących sposobu dostarczania usług, aby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ten sposób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miarę możliwości dostosować swoje funkcjonowanie do oczekiwań mieszkańców (klientów). Pomimo wykonywania swoich prawem określonych obowiązków, administracja służy wspólnocie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niezgodny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wolą mieszkańców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usługobiorców.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2.2.</w:t>
      </w:r>
      <w:r>
        <w:rPr>
          <w:rFonts w:ascii="Times New Roman" w:eastAsia="Times New Roman" w:hAnsi="Times New Roman" w:cs="Times New Roman"/>
          <w:b/>
          <w:i w:val="0"/>
          <w:caps w:val="0"/>
          <w:strike w:val="0"/>
          <w:color w:val="000000"/>
          <w:sz w:val="22"/>
          <w:u w:val="none" w:color="000000"/>
          <w:vertAlign w:val="baseline"/>
        </w:rPr>
        <w:t>Metoda analizy ryzyka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audytu wewnętrznego oraz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wynikach tego audytu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506) </w:t>
      </w:r>
      <w:r>
        <w:rPr>
          <w:rFonts w:ascii="Times New Roman" w:eastAsia="Times New Roman" w:hAnsi="Times New Roman" w:cs="Times New Roman"/>
          <w:b w:val="0"/>
          <w:i/>
          <w:caps w:val="0"/>
          <w:strike w:val="0"/>
          <w:color w:val="000000"/>
          <w:sz w:val="22"/>
          <w:u w:val="none" w:color="000000"/>
          <w:vertAlign w:val="baseline"/>
        </w:rPr>
        <w:t>"§ 7. Kierownik komórki audytu wewnętrznego, opracowując plan audytu, o</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którym mowa w</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art.</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283</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ust.</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1</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ustawy, przeprowadza analizę ryzyka uwzględniającą sposób zarządzania ryzykiem w</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jednostce."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Wobec powyższego audytor,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zastosowaniem metodologii wprowadzonej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jednostce, dokonał samodzielnej identyfikacji ryzyk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ogólnym.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2.3.</w:t>
      </w:r>
      <w:r>
        <w:rPr>
          <w:rFonts w:ascii="Times New Roman" w:eastAsia="Times New Roman" w:hAnsi="Times New Roman" w:cs="Times New Roman"/>
          <w:b/>
          <w:i w:val="0"/>
          <w:caps w:val="0"/>
          <w:strike w:val="0"/>
          <w:color w:val="000000"/>
          <w:sz w:val="22"/>
          <w:u w:val="none" w:color="000000"/>
          <w:vertAlign w:val="baseline"/>
        </w:rPr>
        <w:t>Wyniki analizy ryzyka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Arkusz „Analiza ryzyka” przygotowano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powyżej określoną metodologią.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arkuszu uwzględniono określone wcześniej obszary ryzyka, które zostały oszacowane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algorytmem opisanym powyżej. Jak już zaznaczono wcześniej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dokonywano podziału obszarów ryzyka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jednostek organizacyjnych odpowiedzialnych za realizację zadań (brak kryterium właściciela ryzyka), ale podzielono je ze względu na obszary działalności całej Gminy.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35"/>
        <w:gridCol w:w="1650"/>
        <w:gridCol w:w="1395"/>
        <w:gridCol w:w="945"/>
        <w:gridCol w:w="1230"/>
        <w:gridCol w:w="930"/>
        <w:gridCol w:w="825"/>
        <w:gridCol w:w="1815"/>
        <w:gridCol w:w="8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00"/>
        </w:trPr>
        <w:tc>
          <w:tcPr>
            <w:tcW w:w="435" w:type="dxa"/>
            <w:vMerge w:val="restart"/>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Nr</w:t>
            </w:r>
          </w:p>
        </w:tc>
        <w:tc>
          <w:tcPr>
            <w:tcW w:w="3045" w:type="dxa"/>
            <w:gridSpan w:val="2"/>
            <w:vMerge w:val="restart"/>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IDENTYFIKACJA RYZYKA</w:t>
            </w:r>
          </w:p>
        </w:tc>
        <w:tc>
          <w:tcPr>
            <w:tcW w:w="6600" w:type="dxa"/>
            <w:gridSpan w:val="6"/>
            <w:tcBorders>
              <w:top w:val="single" w:sz="4" w:space="0" w:color="auto"/>
              <w:left w:val="nil"/>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ANALIZA RYZYKA</w:t>
            </w:r>
          </w:p>
        </w:tc>
      </w:tr>
      <w:tr>
        <w:tblPrEx>
          <w:tblW w:w="5000" w:type="pct"/>
          <w:tblLayout w:type="fixed"/>
          <w:tblCellMar>
            <w:left w:w="108" w:type="dxa"/>
            <w:right w:w="108" w:type="dxa"/>
          </w:tblCellMar>
        </w:tblPrEx>
        <w:trPr>
          <w:trHeight w:val="564"/>
        </w:trPr>
        <w:tc>
          <w:tcPr>
            <w:tcW w:w="435" w:type="dxa"/>
            <w:vMerge/>
            <w:tcBorders>
              <w:top w:val="single" w:sz="4" w:space="0" w:color="auto"/>
              <w:left w:val="single" w:sz="2"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tcBorders>
              <w:top w:val="single" w:sz="4" w:space="0" w:color="auto"/>
              <w:left w:val="single" w:sz="2"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745" w:type="dxa"/>
            <w:gridSpan w:val="5"/>
            <w:tcBorders>
              <w:top w:val="single" w:sz="4" w:space="0" w:color="auto"/>
              <w:left w:val="nil"/>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WAGA RYZYKA</w:t>
            </w:r>
          </w:p>
        </w:tc>
        <w:tc>
          <w:tcPr>
            <w:tcW w:w="85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Wartość ryzyka</w:t>
            </w:r>
          </w:p>
        </w:tc>
      </w:tr>
      <w:tr>
        <w:tblPrEx>
          <w:tblW w:w="5000" w:type="pct"/>
          <w:tblLayout w:type="fixed"/>
          <w:tblCellMar>
            <w:left w:w="108" w:type="dxa"/>
            <w:right w:w="108" w:type="dxa"/>
          </w:tblCellMar>
        </w:tblPrEx>
        <w:trPr>
          <w:trHeight w:val="708"/>
        </w:trPr>
        <w:tc>
          <w:tcPr>
            <w:tcW w:w="435" w:type="dxa"/>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4"/>
            <w:tcBorders>
              <w:top w:val="single" w:sz="2" w:space="0" w:color="auto"/>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Oddziaływanie ryzyka (O)</w:t>
            </w:r>
          </w:p>
        </w:tc>
        <w:tc>
          <w:tcPr>
            <w:tcW w:w="1815"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Prawdopodobieństwo wystąpienia ryzyka (P)</w:t>
            </w:r>
          </w:p>
        </w:tc>
        <w:tc>
          <w:tcPr>
            <w:tcW w:w="85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w %</w:t>
            </w:r>
          </w:p>
        </w:tc>
      </w:tr>
      <w:tr>
        <w:tblPrEx>
          <w:tblW w:w="5000" w:type="pct"/>
          <w:tblLayout w:type="fixed"/>
          <w:tblCellMar>
            <w:left w:w="108" w:type="dxa"/>
            <w:right w:w="108" w:type="dxa"/>
          </w:tblCellMar>
        </w:tblPrEx>
        <w:trPr>
          <w:trHeight w:val="948"/>
        </w:trPr>
        <w:tc>
          <w:tcPr>
            <w:tcW w:w="435" w:type="dxa"/>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Kryterium finansowe</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Kryterium organizacyjne</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Kryterium reputacji</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Wpływ na Strategię</w:t>
            </w:r>
          </w:p>
        </w:tc>
        <w:tc>
          <w:tcPr>
            <w:tcW w:w="181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312"/>
        </w:trPr>
        <w:tc>
          <w:tcPr>
            <w:tcW w:w="435" w:type="dxa"/>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K</w:t>
            </w:r>
            <w:r>
              <w:rPr>
                <w:b/>
                <w:sz w:val="20"/>
                <w:vertAlign w:val="subscript"/>
              </w:rPr>
              <w:t>F</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K</w:t>
            </w:r>
            <w:r>
              <w:rPr>
                <w:b/>
                <w:sz w:val="20"/>
                <w:vertAlign w:val="subscript"/>
              </w:rPr>
              <w:t>O</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K</w:t>
            </w:r>
            <w:r>
              <w:rPr>
                <w:b/>
                <w:sz w:val="20"/>
                <w:vertAlign w:val="subscript"/>
              </w:rPr>
              <w:t>R</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K</w:t>
            </w:r>
            <w:r>
              <w:rPr>
                <w:b/>
                <w:sz w:val="20"/>
                <w:vertAlign w:val="subscript"/>
              </w:rPr>
              <w:t>S</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WK</w:t>
            </w:r>
          </w:p>
        </w:tc>
      </w:tr>
      <w:tr>
        <w:tblPrEx>
          <w:tblW w:w="5000" w:type="pct"/>
          <w:tblLayout w:type="fixed"/>
          <w:tblCellMar>
            <w:left w:w="108" w:type="dxa"/>
            <w:right w:w="108" w:type="dxa"/>
          </w:tblCellMar>
        </w:tblPrEx>
        <w:trPr>
          <w:trHeight w:val="840"/>
        </w:trPr>
        <w:tc>
          <w:tcPr>
            <w:tcW w:w="435" w:type="dxa"/>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proces / zadanie / projekt</w:t>
            </w:r>
          </w:p>
        </w:tc>
        <w:tc>
          <w:tcPr>
            <w:tcW w:w="139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Nazwa ryzyka</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0,4</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0,2</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0,2</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0,2</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(1-5)</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(1 % - 100 %)</w:t>
            </w:r>
          </w:p>
        </w:tc>
      </w:tr>
      <w:tr>
        <w:tblPrEx>
          <w:tblW w:w="5000" w:type="pct"/>
          <w:tblLayout w:type="fixed"/>
          <w:tblCellMar>
            <w:left w:w="108" w:type="dxa"/>
            <w:right w:w="108" w:type="dxa"/>
          </w:tblCellMar>
        </w:tblPrEx>
        <w:trPr>
          <w:trHeight w:val="30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2</w:t>
            </w:r>
          </w:p>
        </w:tc>
        <w:tc>
          <w:tcPr>
            <w:tcW w:w="139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3</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4</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5</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6</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7</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9</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10</w:t>
            </w:r>
          </w:p>
        </w:tc>
      </w:tr>
      <w:tr>
        <w:tblPrEx>
          <w:tblW w:w="5000" w:type="pct"/>
          <w:tblLayout w:type="fixed"/>
          <w:tblCellMar>
            <w:left w:w="108" w:type="dxa"/>
            <w:right w:w="108" w:type="dxa"/>
          </w:tblCellMar>
        </w:tblPrEx>
        <w:trPr>
          <w:trHeight w:val="288"/>
        </w:trPr>
        <w:tc>
          <w:tcPr>
            <w:tcW w:w="435"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val="restart"/>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Obliczanie ryzyka</w:t>
            </w:r>
          </w:p>
        </w:tc>
        <w:tc>
          <w:tcPr>
            <w:tcW w:w="945"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lista wyboru</w:t>
            </w:r>
          </w:p>
        </w:tc>
        <w:tc>
          <w:tcPr>
            <w:tcW w:w="1230"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lista wyboru</w:t>
            </w:r>
          </w:p>
        </w:tc>
        <w:tc>
          <w:tcPr>
            <w:tcW w:w="930"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lista wyboru</w:t>
            </w:r>
          </w:p>
        </w:tc>
        <w:tc>
          <w:tcPr>
            <w:tcW w:w="825"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lista wyboru</w:t>
            </w:r>
          </w:p>
        </w:tc>
        <w:tc>
          <w:tcPr>
            <w:tcW w:w="1815" w:type="dxa"/>
            <w:vMerge w:val="restart"/>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lista wyboru</w:t>
            </w:r>
          </w:p>
        </w:tc>
        <w:tc>
          <w:tcPr>
            <w:tcW w:w="85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WK</w:t>
            </w:r>
          </w:p>
        </w:tc>
      </w:tr>
      <w:tr>
        <w:tblPrEx>
          <w:tblW w:w="5000" w:type="pct"/>
          <w:tblLayout w:type="fixed"/>
          <w:tblCellMar>
            <w:left w:w="108" w:type="dxa"/>
            <w:right w:w="108" w:type="dxa"/>
          </w:tblCellMar>
        </w:tblPrEx>
        <w:trPr>
          <w:trHeight w:val="288"/>
        </w:trPr>
        <w:tc>
          <w:tcPr>
            <w:tcW w:w="43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4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230"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30"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82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81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85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300"/>
        </w:trPr>
        <w:tc>
          <w:tcPr>
            <w:tcW w:w="43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3045" w:type="dxa"/>
            <w:gridSpan w:val="2"/>
            <w:vMerge/>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4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230"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30"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82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815" w:type="dxa"/>
            <w:vMerge/>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formuła</w:t>
            </w:r>
          </w:p>
        </w:tc>
      </w:tr>
      <w:tr>
        <w:tblPrEx>
          <w:tblW w:w="5000" w:type="pct"/>
          <w:tblLayout w:type="fixed"/>
          <w:tblCellMar>
            <w:left w:w="108" w:type="dxa"/>
            <w:right w:w="108" w:type="dxa"/>
          </w:tblCellMar>
        </w:tblPrEx>
        <w:trPr>
          <w:trHeight w:val="1116"/>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Uchwalanie i wykonanie budżetu Gminy</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28,80%</w:t>
            </w:r>
          </w:p>
        </w:tc>
      </w:tr>
      <w:tr>
        <w:tblPrEx>
          <w:tblW w:w="5000" w:type="pct"/>
          <w:tblLayout w:type="fixed"/>
          <w:tblCellMar>
            <w:left w:w="108" w:type="dxa"/>
            <w:right w:w="108" w:type="dxa"/>
          </w:tblCellMar>
        </w:tblPrEx>
        <w:trPr>
          <w:trHeight w:val="1164"/>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Realizacja dochodów</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Najważniejsze źródła zagrożeń dla realizacji celów w każdym obszarze można określić jako:</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27,20%</w:t>
            </w:r>
          </w:p>
        </w:tc>
      </w:tr>
      <w:tr>
        <w:tblPrEx>
          <w:tblW w:w="5000" w:type="pct"/>
          <w:tblLayout w:type="fixed"/>
          <w:tblCellMar>
            <w:left w:w="108" w:type="dxa"/>
            <w:right w:w="108" w:type="dxa"/>
          </w:tblCellMar>
        </w:tblPrEx>
        <w:trPr>
          <w:trHeight w:val="84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Realizacja wydatków</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27,20%</w:t>
            </w:r>
          </w:p>
        </w:tc>
      </w:tr>
      <w:tr>
        <w:tblPrEx>
          <w:tblW w:w="5000" w:type="pct"/>
          <w:tblLayout w:type="fixed"/>
          <w:tblCellMar>
            <w:left w:w="108" w:type="dxa"/>
            <w:right w:w="108" w:type="dxa"/>
          </w:tblCellMar>
        </w:tblPrEx>
        <w:trPr>
          <w:trHeight w:val="1668"/>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Gospodarka finansowa, w tym rachunkowość</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 xml:space="preserve">działanie niezgodne z prawem, </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40,80%</w:t>
            </w:r>
          </w:p>
        </w:tc>
      </w:tr>
      <w:tr>
        <w:tblPrEx>
          <w:tblW w:w="5000" w:type="pct"/>
          <w:tblLayout w:type="fixed"/>
          <w:tblCellMar>
            <w:left w:w="108" w:type="dxa"/>
            <w:right w:w="108" w:type="dxa"/>
          </w:tblCellMar>
        </w:tblPrEx>
        <w:trPr>
          <w:trHeight w:val="84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5.</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Zamówienia publiczne </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17,60%</w:t>
            </w:r>
          </w:p>
        </w:tc>
      </w:tr>
      <w:tr>
        <w:tblPrEx>
          <w:tblW w:w="5000" w:type="pct"/>
          <w:tblLayout w:type="fixed"/>
          <w:tblCellMar>
            <w:left w:w="108" w:type="dxa"/>
            <w:right w:w="108" w:type="dxa"/>
          </w:tblCellMar>
        </w:tblPrEx>
        <w:trPr>
          <w:trHeight w:val="1668"/>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6.</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Mienie komunalne</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 xml:space="preserve"> niewiarygodne dane finansowe,</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16,00%</w:t>
            </w:r>
          </w:p>
        </w:tc>
      </w:tr>
      <w:tr>
        <w:tblPrEx>
          <w:tblW w:w="5000" w:type="pct"/>
          <w:tblLayout w:type="fixed"/>
          <w:tblCellMar>
            <w:left w:w="108" w:type="dxa"/>
            <w:right w:w="108" w:type="dxa"/>
          </w:tblCellMar>
        </w:tblPrEx>
        <w:trPr>
          <w:trHeight w:val="84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7.</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Gospodarka nieruchomościami</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16,00%</w:t>
            </w:r>
          </w:p>
        </w:tc>
      </w:tr>
      <w:tr>
        <w:tblPrEx>
          <w:tblW w:w="5000" w:type="pct"/>
          <w:tblLayout w:type="fixed"/>
          <w:tblCellMar>
            <w:left w:w="108" w:type="dxa"/>
            <w:right w:w="108" w:type="dxa"/>
          </w:tblCellMar>
        </w:tblPrEx>
        <w:trPr>
          <w:trHeight w:val="84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Zagospodarowanie przestrzenne</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 xml:space="preserve"> nieefektywność, marnotrawstwo środków,</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12,80%</w:t>
            </w:r>
          </w:p>
        </w:tc>
      </w:tr>
      <w:tr>
        <w:tblPrEx>
          <w:tblW w:w="5000" w:type="pct"/>
          <w:tblLayout w:type="fixed"/>
          <w:tblCellMar>
            <w:left w:w="108" w:type="dxa"/>
            <w:right w:w="108" w:type="dxa"/>
          </w:tblCellMar>
        </w:tblPrEx>
        <w:trPr>
          <w:trHeight w:val="84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9.</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Usługi administracyjne</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14,40%</w:t>
            </w:r>
          </w:p>
        </w:tc>
      </w:tr>
      <w:tr>
        <w:tblPrEx>
          <w:tblW w:w="5000" w:type="pct"/>
          <w:tblLayout w:type="fixed"/>
          <w:tblCellMar>
            <w:left w:w="108" w:type="dxa"/>
            <w:right w:w="108" w:type="dxa"/>
          </w:tblCellMar>
        </w:tblPrEx>
        <w:trPr>
          <w:trHeight w:val="492"/>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10.</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Oświata</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 xml:space="preserve"> nieprzejrzystość,  podatność na korupcję,</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17,60%</w:t>
            </w:r>
          </w:p>
        </w:tc>
      </w:tr>
      <w:tr>
        <w:tblPrEx>
          <w:tblW w:w="5000" w:type="pct"/>
          <w:tblLayout w:type="fixed"/>
          <w:tblCellMar>
            <w:left w:w="108" w:type="dxa"/>
            <w:right w:w="108" w:type="dxa"/>
          </w:tblCellMar>
        </w:tblPrEx>
        <w:trPr>
          <w:trHeight w:val="30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11.</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Kultura</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16,00%</w:t>
            </w:r>
          </w:p>
        </w:tc>
      </w:tr>
      <w:tr>
        <w:tblPrEx>
          <w:tblW w:w="5000" w:type="pct"/>
          <w:tblLayout w:type="fixed"/>
          <w:tblCellMar>
            <w:left w:w="108" w:type="dxa"/>
            <w:right w:w="108" w:type="dxa"/>
          </w:tblCellMar>
        </w:tblPrEx>
        <w:trPr>
          <w:trHeight w:val="852"/>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12.</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Pomoc społeczna</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0"/>
              </w:rPr>
              <w:t xml:space="preserve"> niezadowolenie mieszkańców (klientów).</w:t>
            </w: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16,00%</w:t>
            </w:r>
          </w:p>
        </w:tc>
      </w:tr>
      <w:tr>
        <w:tblPrEx>
          <w:tblW w:w="5000" w:type="pct"/>
          <w:tblLayout w:type="fixed"/>
          <w:tblCellMar>
            <w:left w:w="108" w:type="dxa"/>
            <w:right w:w="108" w:type="dxa"/>
          </w:tblCellMar>
        </w:tblPrEx>
        <w:trPr>
          <w:trHeight w:val="564"/>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13.</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Sport i rekreacja</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14,40%</w:t>
            </w:r>
          </w:p>
        </w:tc>
      </w:tr>
      <w:tr>
        <w:tblPrEx>
          <w:tblW w:w="5000" w:type="pct"/>
          <w:tblLayout w:type="fixed"/>
          <w:tblCellMar>
            <w:left w:w="108" w:type="dxa"/>
            <w:right w:w="108" w:type="dxa"/>
          </w:tblCellMar>
        </w:tblPrEx>
        <w:trPr>
          <w:trHeight w:val="1392"/>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14.</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Ochrona środowiska, w tym gospodarka odpadami</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26,40%</w:t>
            </w:r>
          </w:p>
        </w:tc>
      </w:tr>
      <w:tr>
        <w:tblPrEx>
          <w:tblW w:w="5000" w:type="pct"/>
          <w:tblLayout w:type="fixed"/>
          <w:tblCellMar>
            <w:left w:w="108" w:type="dxa"/>
            <w:right w:w="108" w:type="dxa"/>
          </w:tblCellMar>
        </w:tblPrEx>
        <w:trPr>
          <w:trHeight w:val="564"/>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15.</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Opieka zdrowotna</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11,20%</w:t>
            </w:r>
          </w:p>
        </w:tc>
      </w:tr>
      <w:tr>
        <w:tblPrEx>
          <w:tblW w:w="5000" w:type="pct"/>
          <w:tblLayout w:type="fixed"/>
          <w:tblCellMar>
            <w:left w:w="108" w:type="dxa"/>
            <w:right w:w="108" w:type="dxa"/>
          </w:tblCellMar>
        </w:tblPrEx>
        <w:trPr>
          <w:trHeight w:val="564"/>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16.</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Zadania zlecone</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11,20%</w:t>
            </w:r>
          </w:p>
        </w:tc>
      </w:tr>
      <w:tr>
        <w:tblPrEx>
          <w:tblW w:w="5000" w:type="pct"/>
          <w:tblLayout w:type="fixed"/>
          <w:tblCellMar>
            <w:left w:w="108" w:type="dxa"/>
            <w:right w:w="108" w:type="dxa"/>
          </w:tblCellMar>
        </w:tblPrEx>
        <w:trPr>
          <w:trHeight w:val="3324"/>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17.</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Zarządzanie jednostkami, w tym zarządzanie kadrami, bezpieczeństwo informacji, obieg informacji</w:t>
            </w:r>
          </w:p>
        </w:tc>
        <w:tc>
          <w:tcPr>
            <w:tcW w:w="1395" w:type="dxa"/>
            <w:tcBorders>
              <w:top w:val="nil"/>
              <w:left w:val="nil"/>
              <w:bottom w:val="nil"/>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14,40%</w:t>
            </w:r>
          </w:p>
        </w:tc>
      </w:tr>
      <w:tr>
        <w:tblPrEx>
          <w:tblW w:w="5000" w:type="pct"/>
          <w:tblLayout w:type="fixed"/>
          <w:tblCellMar>
            <w:left w:w="108" w:type="dxa"/>
            <w:right w:w="108" w:type="dxa"/>
          </w:tblCellMar>
        </w:tblPrEx>
        <w:trPr>
          <w:trHeight w:val="300"/>
        </w:trPr>
        <w:tc>
          <w:tcPr>
            <w:tcW w:w="435" w:type="dxa"/>
            <w:tcBorders>
              <w:top w:val="nil"/>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18.</w:t>
            </w:r>
          </w:p>
        </w:tc>
        <w:tc>
          <w:tcPr>
            <w:tcW w:w="165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Promocja </w:t>
            </w:r>
          </w:p>
        </w:tc>
        <w:tc>
          <w:tcPr>
            <w:tcW w:w="139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2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930"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82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181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855" w:type="dxa"/>
            <w:tcBorders>
              <w:top w:val="nil"/>
              <w:left w:val="nil"/>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14,40%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Planowane tematy audytu wewnętrznego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26"/>
        <w:gridCol w:w="2086"/>
        <w:gridCol w:w="1710"/>
        <w:gridCol w:w="1110"/>
        <w:gridCol w:w="1695"/>
        <w:gridCol w:w="1425"/>
        <w:gridCol w:w="15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Lp.</w:t>
            </w:r>
          </w:p>
        </w:tc>
        <w:tc>
          <w:tcPr>
            <w:tcW w:w="208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Temat audytu wewnętrznego </w:t>
            </w:r>
          </w:p>
        </w:tc>
        <w:tc>
          <w:tcPr>
            <w:tcW w:w="17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Proponowany termin przeprowadzenia audytu wewnętrznego</w:t>
            </w:r>
          </w:p>
        </w:tc>
        <w:tc>
          <w:tcPr>
            <w:tcW w:w="11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Niezbędne zasoby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(liczba osobodni)</w:t>
            </w:r>
          </w:p>
        </w:tc>
        <w:tc>
          <w:tcPr>
            <w:tcW w:w="169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Obszar ryzyka</w:t>
            </w:r>
          </w:p>
        </w:tc>
        <w:tc>
          <w:tcPr>
            <w:tcW w:w="14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Ewentualna potrzeba powołania rzeczoznawcy </w:t>
            </w:r>
          </w:p>
        </w:tc>
        <w:tc>
          <w:tcPr>
            <w:tcW w:w="153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Uwagi</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1</w:t>
            </w:r>
          </w:p>
        </w:tc>
        <w:tc>
          <w:tcPr>
            <w:tcW w:w="208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2</w:t>
            </w:r>
          </w:p>
        </w:tc>
        <w:tc>
          <w:tcPr>
            <w:tcW w:w="17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w:t>
            </w:r>
          </w:p>
        </w:tc>
        <w:tc>
          <w:tcPr>
            <w:tcW w:w="11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4</w:t>
            </w:r>
          </w:p>
        </w:tc>
        <w:tc>
          <w:tcPr>
            <w:tcW w:w="169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5</w:t>
            </w:r>
          </w:p>
        </w:tc>
        <w:tc>
          <w:tcPr>
            <w:tcW w:w="14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6</w:t>
            </w:r>
          </w:p>
        </w:tc>
        <w:tc>
          <w:tcPr>
            <w:tcW w:w="153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7</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t>1</w:t>
            </w:r>
          </w:p>
        </w:tc>
        <w:tc>
          <w:tcPr>
            <w:tcW w:w="208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t>Wydawanie wypisów i wyrysów z miejscowego planu zagospodarowania przestrzennego lub ze studium uwarunkowań i kierunków zagospodarowania przestrzennego - prawidłowość wydawania zaświadczeń i zasadność pobierania opłaty skarbowej</w:t>
            </w:r>
          </w:p>
        </w:tc>
        <w:tc>
          <w:tcPr>
            <w:tcW w:w="17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I kw. 2024</w:t>
            </w:r>
          </w:p>
        </w:tc>
        <w:tc>
          <w:tcPr>
            <w:tcW w:w="11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10</w:t>
            </w:r>
          </w:p>
        </w:tc>
        <w:tc>
          <w:tcPr>
            <w:tcW w:w="169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Zarządzanie jednostką</w:t>
            </w:r>
          </w:p>
        </w:tc>
        <w:tc>
          <w:tcPr>
            <w:tcW w:w="14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NIE</w:t>
            </w:r>
          </w:p>
        </w:tc>
        <w:tc>
          <w:tcPr>
            <w:tcW w:w="153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brak</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t>2</w:t>
            </w:r>
          </w:p>
        </w:tc>
        <w:tc>
          <w:tcPr>
            <w:tcW w:w="208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t>Wydatkowanie dotacji przez niepubliczne przedszkole "TUPTUP" w Miejskiej Górce - prawidłowość udzielania dotacji i wykorzystywania jej przez przedszkole</w:t>
            </w:r>
          </w:p>
        </w:tc>
        <w:tc>
          <w:tcPr>
            <w:tcW w:w="17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II kw. 2024</w:t>
            </w:r>
          </w:p>
        </w:tc>
        <w:tc>
          <w:tcPr>
            <w:tcW w:w="11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10</w:t>
            </w:r>
          </w:p>
        </w:tc>
        <w:tc>
          <w:tcPr>
            <w:tcW w:w="169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Wydatki/</w:t>
            </w:r>
          </w:p>
          <w:p>
            <w:pPr>
              <w:jc w:val="center"/>
            </w:pPr>
            <w:r>
              <w:t>oświata</w:t>
            </w:r>
          </w:p>
        </w:tc>
        <w:tc>
          <w:tcPr>
            <w:tcW w:w="14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NIE</w:t>
            </w:r>
          </w:p>
        </w:tc>
        <w:tc>
          <w:tcPr>
            <w:tcW w:w="153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brak</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208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sz w:val="20"/>
              </w:rPr>
              <w:t>Razem:</w:t>
            </w:r>
          </w:p>
        </w:tc>
        <w:tc>
          <w:tcPr>
            <w:tcW w:w="17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111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20</w:t>
            </w:r>
          </w:p>
        </w:tc>
        <w:tc>
          <w:tcPr>
            <w:tcW w:w="169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1425"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1530" w:type="dxa"/>
            <w:tcBorders>
              <w:top w:val="single" w:sz="2" w:space="0" w:color="auto"/>
              <w:left w:val="single" w:sz="2" w:space="0" w:color="auto"/>
              <w:bottom w:val="single" w:sz="2" w:space="0" w:color="auto"/>
              <w:right w:val="single" w:sz="4" w:space="0" w:color="auto"/>
            </w:tcBorders>
            <w:noWrap w:val="0"/>
            <w:tcMar>
              <w:top w:w="0" w:type="dxa"/>
              <w:left w:w="108" w:type="dxa"/>
              <w:bottom w:w="0" w:type="dxa"/>
              <w:right w:w="108" w:type="dxa"/>
            </w:tcMar>
            <w:textDirection w:val="lrTb"/>
            <w:vAlign w:val="center"/>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Planowane czynności doradcze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Wg potrzeb</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(data)</w:t>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(pieczątka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podpis Audytora Wewnętrznego)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(data)</w:t>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(pieczątka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podpis Burmistrza)</w:t>
      </w:r>
    </w:p>
    <w:sectPr>
      <w:footerReference w:type="default" r:id="rId5"/>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center"/>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962F8688-F8D5-466B-9ACD-2CDD266745E9.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center"/>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center"/>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962F8688-F8D5-466B-9ACD-2CDD266745E9.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center"/>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367/2023 z dnia 20 grudnia 2023 r.</dc:title>
  <dc:subject>w sprawie wprowadzenia Planu Audytu Wewnętrznego w^Gminie Miejska Górka na 2024^rok</dc:subject>
  <dc:creator>HP</dc:creator>
  <cp:lastModifiedBy>HP</cp:lastModifiedBy>
  <cp:revision>1</cp:revision>
  <dcterms:created xsi:type="dcterms:W3CDTF">2023-12-28T12:31:50Z</dcterms:created>
  <dcterms:modified xsi:type="dcterms:W3CDTF">2023-12-28T12:31:50Z</dcterms:modified>
  <cp:category>Akt prawny</cp:category>
</cp:coreProperties>
</file>