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 dokonanie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 niżej: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 72.211,00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,,58.753.296,08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„58.825.507,08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,,46.825.322,27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,,46.897.533,27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72.211,00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,,65.547.577,36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,,65.619.788,36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obejmujące plan wydatków bieżących na łączną kwotę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72.211,00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obejmujące plan wydatków bieżących na łączną kwotę ,,44.371.643,28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zł.”, zastępuje się kwotą ,,44.443.854,28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,,33.834.429,97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,,33.906.640,97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– kwotę ,,20.421.647,57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,,20.441.229,57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ich statutowych zadań – kwotę „13.412.782,40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„13.465.411,40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347/2023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347/2023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347/2023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347/2023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Zarządzeniu Burmistrza Miejskiej Górki z dnia</w:t>
        <w:br/>
        <w:t>11 września 2023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</w:t>
      </w:r>
      <w:r>
        <w:rPr>
          <w:szCs w:val="20"/>
        </w:rPr>
        <w:t xml:space="preserve"> </w:t>
      </w:r>
      <w:r>
        <w:rPr>
          <w:szCs w:val="20"/>
        </w:rPr>
        <w:t>Pismo Krajowego Biura Wyborczego Delegatura w Lesznie Nr DLS.801.3.2023 w sprawie przyznania dotacji celowej w Dziale 751 Rozdział 75108 paragraf 2010 w kwocie 71.575,00 z przeznaczeniem na przygotowanie i przeprowadzenie wyborów do Sejmu RP i do Senatu RP w 2023 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</w:t>
      </w:r>
      <w:r>
        <w:rPr>
          <w:szCs w:val="20"/>
        </w:rPr>
        <w:t xml:space="preserve"> </w:t>
      </w:r>
      <w:r>
        <w:rPr>
          <w:szCs w:val="20"/>
        </w:rPr>
        <w:t>Pismo Krajowego Biura Wyborczego w Lesznie Nr DLS.3112.9.2023 w sprawie przyznania dotacji celowej na rok 2023 w Dziale 751 Rozdział 75110 paragraf 2010 w kwocie 636,00 zł. z przeznaczeniem na przygotowanie i przeprowadzenie referendum ogólnokrajowego zarządzonego na dzień 15 października 2023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</w:t>
      </w:r>
      <w:r>
        <w:rPr>
          <w:szCs w:val="20"/>
        </w:rPr>
        <w:t xml:space="preserve"> </w:t>
      </w:r>
      <w:r>
        <w:rPr>
          <w:szCs w:val="20"/>
        </w:rPr>
        <w:t>Zwiększenie, przesunięcie planu wydatków w związku z prognozowaniem wydatków budżetowych.</w:t>
      </w:r>
    </w:p>
    <w:sectPr>
      <w:footerReference w:type="default" r:id="rId13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6883A783-2744-4130-B53C-766699DBD4AB.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6883A783-2744-4130-B53C-766699DBD4AB.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6883A783-2744-4130-B53C-766699DBD4AB.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6883A783-2744-4130-B53C-766699DBD4AB.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6883A783-2744-4130-B53C-766699DBD4AB.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6883A783-2744-4130-B53C-766699DBD4AB.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347/2023 z dnia 11 września 2023 r.</dc:title>
  <dc:subject>w sprawie: zmiany uchwały budżetowej na rok 2023</dc:subject>
  <dc:creator>HP</dc:creator>
  <cp:lastModifiedBy>HP</cp:lastModifiedBy>
  <cp:revision>1</cp:revision>
  <dcterms:created xsi:type="dcterms:W3CDTF">2023-09-12T14:18:19Z</dcterms:created>
  <dcterms:modified xsi:type="dcterms:W3CDTF">2023-09-12T14:18:19Z</dcterms:modified>
  <cp:category>Akt prawny</cp:category>
</cp:coreProperties>
</file>