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ustalenia rocznego czynszu dzierżawnego dla nieruchomości rolnych będących własnością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XXIX/163/09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dotyczących wyrażenia zgody na wydzierżawianie oraz wynajmowanie wchodzących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 gminnego zasobu nieruchomości użytkowanych na cele rolnicze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Ustalam roczną stawkę czynszu dzierżawnego za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hektar dla nieruchomości użytkowanych na cele rolnicze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klasa III, IIIa, IIIb –750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klasa IV, IVa, IVb – 560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klasa V – 380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klasa VI – 250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nieużytki – 250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Ustalone stawki czynszu mają zastosowanie do umów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przypadku, gdy po umowie zawartej na czas oznaczony do lat 3, strony zawierają kolejne umowy, których przedmiotem jest ta sama nieruchomość.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Naczelnikowi Wydziału Komunalnego.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3A1A85C1-2B94-4C44-86A6-F490DAABF13E.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345/2023 z dnia 1 września 2023 r.</dc:title>
  <dc:subject>w sprawie: ustalenia rocznego czynszu dzierżawnego dla nieruchomości rolnych będących własnością Gminy Miejska Górka</dc:subject>
  <dc:creator>HP</dc:creator>
  <cp:lastModifiedBy>HP</cp:lastModifiedBy>
  <cp:revision>1</cp:revision>
  <dcterms:created xsi:type="dcterms:W3CDTF">2023-09-05T09:12:26Z</dcterms:created>
  <dcterms:modified xsi:type="dcterms:W3CDTF">2023-09-05T09:12:26Z</dcterms:modified>
  <cp:category>Akt prawny</cp:category>
</cp:coreProperties>
</file>