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XXV/158/21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870),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Petycję wniesioną przez Stowarzyszenie Polska Wolna od GMO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rozpatruje się negatywnie.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Uzasadnienie sposobu rozpatrzenia petycji jest zawarte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Miejskiej.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63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XXV/158/21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dniu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 Biura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wpłynęła petycja wniesiona przez Stowarzyszenie Polska Wolna od GMO dotycząca wezwania Rady Miejskiej do podjęcia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poparcia petycji "Alarm!Stop zabójczemu GMO - Stop niebezpiecznej szczepionce";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zaprzestania szczepień przeciwko Covid19;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dopuszczenia do mediów publicznych polskich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zagranicznych lekarzy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naukowców, którzy alarmują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wskazują na możliwe powikłania poszczepienne;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odwołania wszystkich ograniczeń wolności,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gospodarczych, które zostały narzucone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2020;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Petycja była przedmiotem posiedzenia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dokonaniu analizy wniesionej petycji, wobec tak sformułowanej treści Komisja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stwierdziła, że przyjęcie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wyrażonym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wykracza poza zakres działania Rady Gminy, która jako organ władzy publicznej, działa na podstawie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granicach prawa. To oznacza, że może podejmować tylko takie działania, na które prawo wprost im zezwala. 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zaproponowanym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 petycji byłaby aktem podjętym bez podstawy prawnej,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więc niezgodnym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prawem.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Wobec powyższego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pełni uzasadnione jest 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proponowanym brzmieniu.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uchwała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uzasadnieniem stanowią 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sposobie załatwienia petycji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zostanie ona doręczona podmiotowi wnoszącemu petycję. Sposób załatwienia petycji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być przedmiotem skargi.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B73E0987-D76E-46D9-B514-4C57AF4A51FD.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B73E0987-D76E-46D9-B514-4C57AF4A51FD.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XXV/158/21 z dnia 11 marca 2021 r.</dc:title>
  <dc:subject>w sprawie rozpatrzenia petycji</dc:subject>
  <dc:creator>HP</dc:creator>
  <cp:lastModifiedBy>HP</cp:lastModifiedBy>
  <cp:revision>1</cp:revision>
  <dcterms:created xsi:type="dcterms:W3CDTF">2021-03-15T23:55:40Z</dcterms:created>
  <dcterms:modified xsi:type="dcterms:W3CDTF">2021-03-15T23:55:40Z</dcterms:modified>
  <cp:category>Akt prawny</cp:category>
</cp:coreProperties>
</file>