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A76602" w:rsidRDefault="00831CF3">
      <w:pPr>
        <w:keepNext/>
        <w:spacing w:before="120" w:after="120" w:line="360" w:lineRule="auto"/>
        <w:ind w:left="10589"/>
        <w:jc w:val="left"/>
        <w:rPr>
          <w:rFonts w:asciiTheme="minorHAnsi" w:hAnsiTheme="minorHAnsi" w:cstheme="minorHAnsi"/>
          <w:sz w:val="20"/>
          <w:szCs w:val="20"/>
        </w:rPr>
      </w:pPr>
      <w:r w:rsidRPr="00A76602">
        <w:rPr>
          <w:rFonts w:asciiTheme="minorHAnsi" w:hAnsiTheme="minorHAnsi" w:cstheme="minorHAnsi"/>
          <w:sz w:val="20"/>
          <w:szCs w:val="20"/>
        </w:rPr>
        <w:fldChar w:fldCharType="begin"/>
      </w:r>
      <w:r w:rsidRPr="00A76602">
        <w:rPr>
          <w:rFonts w:asciiTheme="minorHAnsi" w:hAnsiTheme="minorHAnsi" w:cstheme="minorHAnsi"/>
          <w:sz w:val="20"/>
          <w:szCs w:val="20"/>
        </w:rPr>
        <w:fldChar w:fldCharType="end"/>
      </w:r>
      <w:r w:rsidR="00BD05D7" w:rsidRPr="00A76602">
        <w:rPr>
          <w:rFonts w:asciiTheme="minorHAnsi" w:hAnsiTheme="minorHAnsi" w:cstheme="minorHAnsi"/>
          <w:sz w:val="20"/>
          <w:szCs w:val="20"/>
        </w:rPr>
        <w:t>Załącznik do zarządzenia Nr 132/2021</w:t>
      </w:r>
      <w:r w:rsidR="00BD05D7" w:rsidRPr="00A76602">
        <w:rPr>
          <w:rFonts w:asciiTheme="minorHAnsi" w:hAnsiTheme="minorHAnsi" w:cstheme="minorHAnsi"/>
          <w:sz w:val="20"/>
          <w:szCs w:val="20"/>
        </w:rPr>
        <w:br/>
        <w:t>Burmistrza Miejskiej Górki</w:t>
      </w:r>
      <w:r w:rsidR="00BD05D7" w:rsidRPr="00A76602">
        <w:rPr>
          <w:rFonts w:asciiTheme="minorHAnsi" w:hAnsiTheme="minorHAnsi" w:cstheme="minorHAnsi"/>
          <w:sz w:val="20"/>
          <w:szCs w:val="20"/>
        </w:rPr>
        <w:br/>
        <w:t>z dnia 28 stycznia 2021 r.</w:t>
      </w:r>
    </w:p>
    <w:p w:rsidR="00A77B3E" w:rsidRPr="00A76602" w:rsidRDefault="00BD05D7">
      <w:pPr>
        <w:keepNext/>
        <w:spacing w:after="480"/>
        <w:jc w:val="center"/>
        <w:rPr>
          <w:rFonts w:asciiTheme="minorHAnsi" w:hAnsiTheme="minorHAnsi" w:cstheme="minorHAnsi"/>
          <w:sz w:val="20"/>
          <w:szCs w:val="20"/>
        </w:rPr>
      </w:pPr>
      <w:r w:rsidRPr="00A76602">
        <w:rPr>
          <w:rFonts w:asciiTheme="minorHAnsi" w:hAnsiTheme="minorHAnsi" w:cstheme="minorHAnsi"/>
          <w:b/>
          <w:sz w:val="20"/>
          <w:szCs w:val="20"/>
        </w:rPr>
        <w:t xml:space="preserve">WYKAZ UWAG </w:t>
      </w:r>
      <w:r w:rsidRPr="00A76602">
        <w:rPr>
          <w:rFonts w:asciiTheme="minorHAnsi" w:hAnsiTheme="minorHAnsi" w:cstheme="minorHAnsi"/>
          <w:b/>
          <w:sz w:val="20"/>
          <w:szCs w:val="20"/>
        </w:rPr>
        <w:t>ZGŁOSZONYCH DO WYŁOŻONEGO</w:t>
      </w:r>
      <w:r w:rsidRPr="00A76602">
        <w:rPr>
          <w:rFonts w:asciiTheme="minorHAnsi" w:hAnsiTheme="minorHAnsi" w:cstheme="minorHAnsi"/>
          <w:b/>
          <w:sz w:val="20"/>
          <w:szCs w:val="20"/>
        </w:rPr>
        <w:br/>
        <w:t>DO PUBLICZNEGO WGLĄDU PROJEKTU</w:t>
      </w:r>
      <w:r w:rsidRPr="00A76602">
        <w:rPr>
          <w:rFonts w:asciiTheme="minorHAnsi" w:hAnsiTheme="minorHAnsi" w:cstheme="minorHAnsi"/>
          <w:b/>
          <w:sz w:val="20"/>
          <w:szCs w:val="20"/>
        </w:rPr>
        <w:br/>
        <w:t>MIEJSCOWEGO PLANU ZAGOSPODAROWANIA PRZESTRZENNEGO</w:t>
      </w:r>
      <w:r w:rsidRPr="00A76602">
        <w:rPr>
          <w:rFonts w:asciiTheme="minorHAnsi" w:hAnsiTheme="minorHAnsi" w:cstheme="minorHAnsi"/>
          <w:b/>
          <w:sz w:val="20"/>
          <w:szCs w:val="20"/>
        </w:rPr>
        <w:br/>
        <w:t>W OBRĘBIE WSI GOSTKOWO, GMINA MIEJSKA GÓRKA</w:t>
      </w:r>
    </w:p>
    <w:p w:rsidR="00A77B3E" w:rsidRPr="00A76602" w:rsidRDefault="00BD05D7">
      <w:pPr>
        <w:spacing w:before="120" w:after="120"/>
        <w:ind w:firstLine="227"/>
        <w:jc w:val="center"/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  <w:r w:rsidRPr="00A76602">
        <w:rPr>
          <w:rFonts w:asciiTheme="minorHAnsi" w:hAnsiTheme="minorHAnsi" w:cstheme="minorHAnsi"/>
          <w:b/>
          <w:sz w:val="20"/>
          <w:szCs w:val="20"/>
        </w:rPr>
        <w:t>WYKAZ UWAG ZGŁOSZONYCH NA PODSTAWIE ART. 17 PKT 11 USTAWY Z DNIA</w:t>
      </w:r>
      <w:r w:rsidRPr="00A76602">
        <w:rPr>
          <w:rFonts w:asciiTheme="minorHAnsi" w:hAnsiTheme="minorHAnsi" w:cstheme="minorHAnsi"/>
          <w:b/>
          <w:sz w:val="20"/>
          <w:szCs w:val="20"/>
        </w:rPr>
        <w:br/>
        <w:t>27 MARCA 2003 r. O PLANOWANIU I ZAGOSPOD</w:t>
      </w:r>
      <w:r w:rsidRPr="00A76602">
        <w:rPr>
          <w:rFonts w:asciiTheme="minorHAnsi" w:hAnsiTheme="minorHAnsi" w:cstheme="minorHAnsi"/>
          <w:b/>
          <w:sz w:val="20"/>
          <w:szCs w:val="20"/>
        </w:rPr>
        <w:t>AROWANIU PRZESTRZENNYM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036"/>
        <w:gridCol w:w="1361"/>
        <w:gridCol w:w="1642"/>
        <w:gridCol w:w="1302"/>
        <w:gridCol w:w="1553"/>
        <w:gridCol w:w="1213"/>
        <w:gridCol w:w="1420"/>
        <w:gridCol w:w="1213"/>
        <w:gridCol w:w="1420"/>
        <w:gridCol w:w="2174"/>
      </w:tblGrid>
      <w:tr w:rsidR="00831CF3" w:rsidRPr="00A76602">
        <w:trPr>
          <w:trHeight w:val="240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Data wpływu uwagi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imię, nazwa jednostki organizacyjnej</w:t>
            </w:r>
          </w:p>
          <w:p w:rsidR="00831CF3" w:rsidRPr="00A76602" w:rsidRDefault="00BD0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i adres zgłaszającego uwagi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Treść uwagi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Oznaczenie nieruchomości,</w:t>
            </w:r>
          </w:p>
          <w:p w:rsidR="00831CF3" w:rsidRPr="00A76602" w:rsidRDefault="00BD0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której dotyczy uwaga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Ustalenia projektu planu dla nieruchom</w:t>
            </w:r>
          </w:p>
          <w:p w:rsidR="00831CF3" w:rsidRPr="00A76602" w:rsidRDefault="00BD0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ości, której dotyczy uwaga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Rozstrzygn</w:t>
            </w: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ięcie Burmistrza</w:t>
            </w:r>
          </w:p>
          <w:p w:rsidR="00831CF3" w:rsidRPr="00A76602" w:rsidRDefault="00BD0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w sprawie rozpatrzenia uwag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Rozstrzygnięcie Rady Miejskiej załącznik</w:t>
            </w:r>
          </w:p>
          <w:p w:rsidR="00831CF3" w:rsidRPr="00A76602" w:rsidRDefault="00BD0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do uchwały</w:t>
            </w:r>
          </w:p>
          <w:p w:rsidR="00831CF3" w:rsidRPr="00A76602" w:rsidRDefault="00BD0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Nr ……/……/2021 z dnia …….. ………2021r.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831CF3" w:rsidRPr="00A76602">
        <w:trPr>
          <w:trHeight w:val="162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Uwaga </w:t>
            </w:r>
          </w:p>
          <w:p w:rsidR="00831CF3" w:rsidRPr="00A76602" w:rsidRDefault="00BD0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uwzględniona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Uwaga nieuwzględniona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Uwaga </w:t>
            </w:r>
          </w:p>
          <w:p w:rsidR="00831CF3" w:rsidRPr="00A76602" w:rsidRDefault="00BD0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uwzględniona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Uwaga nieuwzględniona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</w:tr>
      <w:tr w:rsidR="00831CF3" w:rsidRPr="00A76602">
        <w:trPr>
          <w:trHeight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</w:tr>
      <w:tr w:rsidR="00831CF3" w:rsidRPr="00A76602">
        <w:trPr>
          <w:trHeight w:val="2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02.09.2020 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Nikodem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Maćkowiak,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Zakrzewo 35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63-910 Miejska Górka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Reprezentowany przez: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adwokata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Wiesława Michalskiego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Kancelaria Adwokacka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ul. Nowowiejska 3/3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61-731 Poznań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Projekt zawiera w sobie nieścisłości, wewnętrzne sprzeczności, a także jest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niezgodny ze studium uwarunkowań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i kierunków zagospodarowania przestrzennego gminy Miejska Górka.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Zgodnie z art. 15 ust. 1 ustawy - </w:t>
            </w:r>
            <w:r w:rsidRPr="00A76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Wójt,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burmistrz albo prezydent miasta sporz</w:t>
            </w:r>
            <w:r w:rsidRPr="00A76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ądza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projekt planu miejscowego, zawierający część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tekstową i graficzną, zgodnie z zapisami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studium oraz z przepisami odrębnymi,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odnoszącymi się do obszaru objętego planem,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wraz z uzasadnieniem.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Oznacza to, że plan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zagospodarowania przestrzenneg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ma stanowić uszczegółowienie zapisów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zawartych w studium, nie może prowadzić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do zmiany kierunków zagospodarowania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objętych studium. Chociaż w studium inaczej niż w przypadku planu zagospodarowania przestrzennego, nie ma mocy powszechnie obowiązuj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ąco prawa miejscowego, to jednak jako akt planistyczny wiąże organy gminy przy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sporządzaniu planu zagospodarowania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przestrzennego. Przygotowany projekt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miejscowego planu zagospodarowania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przestrzennego wsi Gostkowo , gmina Miejska Górka nie jest zg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odny z obowiązującym na tym terenie studium. W pierwszej kolejności należy wskazać, iż wpisy w opracowanej zmianie do studium podkreśla się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priorytet rozwoju gminy w sektorze rolno - spożywczym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oraz wyszczególnia zabytki z naciskiem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na och ochronę. Na stronie 90 studium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zamieszczona została mapka z wykazaniem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charakterystyki dla planowanego rozwoju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 profilu trzody chlewnej, obejmującego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również wieś Gostkowo. Tymczasem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w projekcie miejscowego planu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zagospodarowania przes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trzennego główny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nacisk położono na zmianę przeznaczenia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terenów użytkowanych, m.in. rolniczych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na tereny usług, sportu i rekreacji oraz zieleni urządzonej, co nie odpowiada zasadom zagospodarowania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określonym w studium.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Ponadto zauważyć należy, iż w całym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opracowaniu studium brak jest odniesienia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do kierunku wprowadzenia w Gostkowie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jakiejkolwiek zieleni urządzonej we wsi oraz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jakiejkolwiek funkcjo agroturystycznej,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co zostało zawarte w projekcie miejscowego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planu zagospodarowania przestrzennego.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W celu wykazania niezgodności wskazuję,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co zostało zawarte w opracowaniu studium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(numeracja według stron opracowania).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Diagnoza stanu gminy - uwarunkowania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część A.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98 - określenie strefy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konserwato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rskiej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"SK-A",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100 - wyszczególnienie zespołu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Folwarcznego,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101 - potwierdzenie wpisu do zabytków,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104 - dobra ocena stanu zachowania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zespołu folwarcznego,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117 - wymienione kierunki rozwoju wsi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Gostkowo, m.in. chów trzody chlewnej,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Kierunki rozwoju polityki przestrzennej gminy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- część B.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10 - elementy strategiczne społeczno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- gospodarczego rozwoju gminy, wymieniony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kierunek przemysłu rolno - spożywczego,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11 - zakładany wzr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ost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gospodarczy przez priorytety zrównoważony rozwój rolnictwa  oraz funkcji usługowo -obsługowej,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36 - wymieniona bezwzględna ochrona parków podworskich (także w Gostkowie),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59 - zalecane działania jako rozwój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przemysłu rolno - spożywcze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go,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63 - subrejon w Gostkowie wskazany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do intensyfikacji rolnictwa,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68 - zasoby kulturowe gminy to zabytki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i ich otoczenie m.in. zespoły pałacowo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- parkowe,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70-76 - powtórzenie opisu wyszczególnienia zabytków,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87 - rozw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ój produkcji rolnej przez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doskonalenie chowu trzody chlewnej,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90 - rysunek planu gminy z zakreśleniem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rejonu Gostkowa jako terenu o produkcji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intensywnej chowu bydła i trzody chlewnej,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* str. 124 - wymienia się powiązanie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funkcjonalno - pr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zestrzenne historycznych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obiektów z krajobrazem naturalnym;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- Zwrócić uwagę należy również na prognozę oceny oddziaływania na środowisko. Generalnie prognoza odnosi się tylko i wyłącznie do tego, co zakłada miejscowy plan zagospodarowania przestrzennego.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Natomiast nie odnosi się do tego, co jest od lat kontynuowane w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istniejących budynkach na przedmiotowym terenie, pomimo, że chów trzody chlewnej jest określony jako dominujący dla terenu Gostkowa oraz podkreśla się konieczności zachowania profilu folwarku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 jego odwieczną funkcją, a mianowicie hodowlą zwierząt;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Odnosząc uwagi stricte do projektu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miejscowego planu zagospodarowania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przestrzennego, zauważyć należy, iż plan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traktuje wpis do ewidencji zabytków jako wpis poszczególnych obiektów w terenie, podczas gdy wpis dotyczy całego założenia dworsko - folwarcznego. Należy to odnieść do faktu, że wszystkie obiekty mają ten sam numer rejestrowy.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Gdyby każdy obiekt miał swój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numer to byłaby zupełnie inna sytuacja, bo wówczas folwark albo parki musiałyby być odrębnie wpisany, a wpisany do rejestru został zespół dworski w Gostkowie (decyzja z dnia 26 czerwca 1989 roku w sprawie wpisania dobra kultury do rejestru zabytków). Lege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nda na planie jest nieprawidłowa w zakresie terenu z obiektami, a nie tylko samych obiektów.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Teren obiektów chronionych nie jest tylko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obrysem budynków, ale całym terenem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zespołu, czego nie uwzględnia plan,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bo planuje się na terenie objętym ochroną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U/ZP/MN podział na działki i budownictwo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jednorodzinne;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- Nieprawidłowe jest w chronionym parku, czy nawet jego relikcie dzielić teren pod zabudowę jednorodzinną, a jednocześnie wskazywać o konieczności zachowania obiektów historycznych w ich naturaln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ym krajobrazie. Mamy do czynienia w tym przypadku z kolejną sprzecznością pomiędzy planem, a studium; - Projekt miejscowego planu zagospodarowania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przestrzennego nie ujmuje poszanowania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istniejącej zabudowy. Trudno bowiem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wyobrazić sobie legalnie dzi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ałające chlewnie w budynkach zabytkowych tzn. od lat przeznaczonych do tego celu, jak i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istniejące zbiorniki pomiędzy zielenią urządzoną  i agroturystyką oraz działkami budowlanymi bezzasadnie wydzielonymi z gruntów ornych;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Wskazać należy również, iż co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istotne projekt planu nie ujmuje określenia odległości dróg od nowych planowanych budynków poza wskazaniem linii zabudowy wyrysowanej od drogi powiatowej. Niedorzecznością jest to, że nie ma ujętej komunikacji w terenie po jego podziale na działki. Nie okr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eśla się  także jakie budynki należy rozumieć przez obiekty gospodarcze;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Projekt planu zagospodarowania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przestrzennego nie ogranicza budowy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i rozbudowy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budynków, a tym samym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odtworzenia budynków, gdyż brak jest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określenia o całkowitym zakazie, ta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k jak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w przypadku terenu rolnego ozn. R;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Co istotne projekt planu miejscowego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zagospodarowania przestrzennego ogranicza możliwość ewentualnej odbudowy obiektu zabytkowego z uwagi na wprowadzenie w to miejsce zieleni urządzonej, co oznacza brak poszan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owania spuścizny historycznej obiektów przy jednoczesnym zachowaniu starych budynków;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Nie zostało określone również, co należy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rozumieć przez działalność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usługową, jest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to ważne, gdyż pojęcie to jest szerokie.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Na planie oznaczenie "U" niekoniecznie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oznacza działalność rolną, a tym samym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uniemożliwia rozwój działalności rolnej, która jest zakładana w studium.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Reasumując tak stworzony projekt planu zagospodarowania przestrzennego właściwie uniemożliwia  kontynuowanie tego co jest obecnie realizowane w budynkach folwarcznych, a przede wszystkim chowem trzody, co zakłada studium.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Obszar objęty mpzp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Tereny przezna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czone pod: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mieszkaniową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jednorodzinną,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usługową, zieleń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urządzoną oraz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mieszkaniową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jednorodzinną,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usługową, sportu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i rekreacji oraz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zieleń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urządzoną,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- tereny rolne,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tereny wód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powierzch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niowych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śródlądowych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1. Tereny oznaczone w studium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uwarunkowań i kierunków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zagospodarowania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lastRenderedPageBreak/>
              <w:t xml:space="preserve"> przestrzennego jako: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- tereny zwartego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zainwestowania wsi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 dopuszczeniem realizacji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uzupełniających funkcjami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niekolidującymi,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- turystyka i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 rekreacja, zieleń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zorganizowana /parku/,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- zabytkowe parki podworskie.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2. Prognoza oddziaływania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na środowisko miejscowego planu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zagospodarowania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przestrzennego w obrębie wsi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Gostkowo, jak sama nazwa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wskazuje odnosi się stricte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br/>
              <w:t xml:space="preserve"> do ustaleń wp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rowadzanych przez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ten konkretny miejscowy plan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zagospodarowania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przestrzennego. Zadaniem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prognozy jest analiza przyszłego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funkcjonowania środowiska pod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wpływem przemian, jakie zajdą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wskutek realizacji ustaleń 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lastRenderedPageBreak/>
              <w:t xml:space="preserve">tego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planu.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3. Zabytkowy zespół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dworsko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- folwarczny obejmujący dwór,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park, spichrz, oborę oraz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gorzelnię, wpisany do rejestru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zabytków pod nr 456/Wlkp/A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decyzją z dnia 26.06.1989 r.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oznaczony został w studium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uwarunkowań i kierunków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zagospodarowania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przestrzennego gminy Miejska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Górka jako zabytek strefy "A"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- ścisłej ochrony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konserwatorskiej o bardzo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dobrze zachowanej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historycznej strukturze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przestrzennej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do bezwzględnego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zachowania. W strefie zakłada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się priorytet wymagań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konserwatorskich i konieczność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opracowania planu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szczegółowego i rewaloryzacji.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lastRenderedPageBreak/>
              <w:t xml:space="preserve"> Swoje wnioski do projektu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planu wniósł Wielkopolski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Wojewódzki Konserwator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Zabytków w Poznaniu,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Delegatura w Lesznie pismem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 dnia 25 lipca 2019 r., znak: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Le-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WN.5150.3592.2.2019,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następnie projekt planu został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pozytywnie uzgodniony przez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ww. organ (zwrotne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potwierdzenie odbioru).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 wniosku Konserwatora Zabytków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wynika, iż w budynkach wpisanych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do rejestru zabytków należy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zachować ich bryłę, architektoniczny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podział i wystrój elewacji, geometrię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dachu, rodzaj i kolor pokrycia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dachowego, więźbę dachową,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historyczny układ pomieszczeń,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historyczną, zabytkową stolarkę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okienną i drzwiową (zewnętrzną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lastRenderedPageBreak/>
              <w:t xml:space="preserve"> i wewnętrzną).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 ogólnie przyjętych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zasad oraz z niektórych zapisów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studium uwarunkowań wynika,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że z uwagi na wartości zabytkowe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parków podworskich zaleca się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wprowadzanie na obszarach z nimi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sąsiadujących jedynie funkcji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neutralnych dla otoczenia, wyklucz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się więc funkcje mogące zakłócać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ich walory i ograniczać możliwości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prawidłowego funkcjonowania,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 tym przede wszystkim uciążliwe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(np. hodowla trzody chlewnej),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wiążące się z gospodarką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odpadami, śmieciami, odorem itd.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4.-6. Nie dopuszcza się podziału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działek na terenie zespołu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dworskiego , wpisanego do rejestru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zabytków - Postanowienie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Nr 45/2020 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lastRenderedPageBreak/>
              <w:t xml:space="preserve">Wielkopolskiego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Wojewódzkiego Konserwatora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Zabytków w Poznaniu, Delegatura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 Lesznie, znak: Le-WN.5150.330.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2.2020 z dnia 18.02.2020 r. Podział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terenu na poszczególne funkcje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 miejscowym planie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zagospodarowania przestrzennego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nie jest równoznaczny z podziałem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terenu na odrębne działki. Nie 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br/>
              <w:t xml:space="preserve"> ma konieczności dla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przedmiotowego terenu wydzielania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n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owych ciągów komunikacyjnych.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Istniejąca droga powiatowa, będąca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 bezpośrednim sąsiedztwie terenu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objętego planem jest wystarczająca,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dla zapewnienia obsługi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komunikacyjnej przedmiotowego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terenu, a wyznaczona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nieprzekraczalna linia zabudowy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określa odległość sytuowania od niej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lastRenderedPageBreak/>
              <w:t xml:space="preserve"> nowej zabudowy.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7.-8. Ustalenia planu ograniczają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odtwarzanie budynków znajdujących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się na przedmiotowym terenie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jedynie w zakresie poszanowania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ustaleń konserwatorskich. Nowe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wprowadzane na tym obszarze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funkcje (poza terenami rolnymi i wód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powierzchniowych śródlądowych)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nie wprowadzają zakazu adaptacji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istniejących budynków zgodnie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 poszczególnymi przeznaczeniami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i wskaźnikami. Funkcja terenów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zieleni urządzonej jest ujęta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równocześnie z f</w:t>
            </w: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unkcją usługową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oraz funkcją usługową sportu,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turystyki i rekreacji - nie wyklucza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możliwości renowacji istniejących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 xml:space="preserve"> obiektów budowlanych - występuje </w:t>
            </w: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lastRenderedPageBreak/>
              <w:t xml:space="preserve"> poza nimi. </w:t>
            </w:r>
          </w:p>
          <w:p w:rsidR="00A77B3E" w:rsidRPr="00A76602" w:rsidRDefault="00A77B3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Pojęcia zawarte w planie należy rozumieć zgodnie z §2. pkt. 1 i 2 uchwały.</w:t>
            </w:r>
          </w:p>
        </w:tc>
      </w:tr>
      <w:tr w:rsidR="00831CF3" w:rsidRPr="00A76602">
        <w:trPr>
          <w:trHeight w:val="17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04.09.2020 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Franciszka Hądzlik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Gostkowo 22/1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63-910 Miejska Górka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Piotr Łuczak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Gostkowo 22/2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63-910 Miejska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Górka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Wnoszą aby była możliwość podziału terenu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żeby działkę mona było podzielić,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czy ją powiększyć, dokupując terenu;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Zgadzają się ze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zmianą przeznaczenia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terenów użytkowanych rolniczo na tereny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usług, sportu i rekreacji oraz zieleni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urządzonej (zabytkowego parku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podworskiego), rozszerzenie działalności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rolniczej, będzie miało wpływ na ograniczenia  związane z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ochroną środowiska oraz ,przyczyni się do spadku wartości ich nieruchomości, działalność rolnicza jest uciążliwa już przy obecnym stanie działalności, wnoszą o ochronę ich praw dla godnego funkcjonowania w środowisku lokalnym.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Obszar objęty mpzp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Tereny p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rzeznaczone pod: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mieszkaniową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jednorodzinną,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usługową, zieleń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urządzoną oraz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mieszkaniową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jednorodzinną,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usługową, sportu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i rekreacji oraz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zieleń urządzoną,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- tereny rolne,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tereny wód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powierzchniowych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śródlądowych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+/-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1. Nie dopuszcza się podziału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działek na terenie zespołu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dworskiego , wpisanego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do rejestru zabytków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- Postanowienie Nr 45/2020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Wielkopolskiego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Wojewódzkiego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Konserwatora Zabytków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w Poznaniu, Delegatura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w Lesznie, znak: Le-WN.5150.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330.2.2020 z dnia 18.02.2020 r.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2. Tereny zostały w planie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przeznaczone pod tereny usług,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sportu i rekreacji oraz zieleni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urządzonej już na wcześniejszym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etapie.</w:t>
            </w:r>
          </w:p>
        </w:tc>
      </w:tr>
      <w:tr w:rsidR="00831CF3" w:rsidRPr="00A76602">
        <w:trPr>
          <w:trHeight w:val="17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04.09.2020 r.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Aneta Węcłaś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Gostkowo 16/3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63-910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Miejska Górka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Urszula Jańczak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Stanisław Jańczak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Gostkowo 25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63-910 Miejska Górka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Marcin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Gostkowo 27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63-910 Miejska Górka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Śmierzchała Zofia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Gostkowo 31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63-910 Miejska Górka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Zgadzają się ze zmianą przeznaczenia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terenów użytkowanych rolniczo na tereny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usług, sportu i rekreacji oraz zieleni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urządzonej (zabytkowego parku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podworskiego), rozszerzenie działalności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rolniczej, będzie miało wpływ na ograniczenia  związane z ochroną środowiska oraz ,przyczyni się do spadku wartości ich nieruchomości, dział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alność rolnicza jest uciążliwa już przy obecnym stanie działalności, wnoszą o ochronę ich praw dla godnego funkcjonowania w środowisku  lokalnym.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Obszar objęty mpzp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Tereny przeznaczone pod: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mieszkaniową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jednorodzinną,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usługową,</w:t>
            </w: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zieleń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urządzoną oraz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mieszkaniową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jednorodzinną,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zabudowę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usługową, sportu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i rekreacji oraz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zieleń urządzoną,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>- tereny rolne,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- tereny wód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powierzchniowych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śródlądowych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b/>
                <w:sz w:val="20"/>
                <w:szCs w:val="20"/>
              </w:rPr>
              <w:t>+/-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A77B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A76602" w:rsidRDefault="00BD05D7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1. Tereny zostały w planie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przeznaczone pod tereny usług,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sportu i rekreacji oraz zieleni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urządzonej już na wcześniejszym </w:t>
            </w:r>
          </w:p>
          <w:p w:rsidR="00831CF3" w:rsidRPr="00A76602" w:rsidRDefault="00BD05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6602">
              <w:rPr>
                <w:rFonts w:asciiTheme="minorHAnsi" w:hAnsiTheme="minorHAnsi" w:cstheme="minorHAnsi"/>
                <w:sz w:val="20"/>
                <w:szCs w:val="20"/>
              </w:rPr>
              <w:t xml:space="preserve"> etapie.</w:t>
            </w:r>
          </w:p>
        </w:tc>
      </w:tr>
    </w:tbl>
    <w:p w:rsidR="00A77B3E" w:rsidRPr="00A76602" w:rsidRDefault="00A77B3E">
      <w:pPr>
        <w:rPr>
          <w:rFonts w:asciiTheme="minorHAnsi" w:hAnsiTheme="minorHAnsi" w:cstheme="minorHAnsi"/>
          <w:color w:val="000000"/>
          <w:sz w:val="20"/>
          <w:szCs w:val="20"/>
          <w:u w:color="000000"/>
        </w:rPr>
      </w:pPr>
    </w:p>
    <w:sectPr w:rsidR="00A77B3E" w:rsidRPr="00A76602" w:rsidSect="00831CF3">
      <w:footerReference w:type="default" r:id="rId6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D7" w:rsidRDefault="00BD05D7" w:rsidP="00831CF3">
      <w:r>
        <w:separator/>
      </w:r>
    </w:p>
  </w:endnote>
  <w:endnote w:type="continuationSeparator" w:id="1">
    <w:p w:rsidR="00BD05D7" w:rsidRDefault="00BD05D7" w:rsidP="0083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72"/>
      <w:gridCol w:w="4936"/>
    </w:tblGrid>
    <w:tr w:rsidR="00831CF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31CF3" w:rsidRDefault="00BD05D7">
          <w:pPr>
            <w:jc w:val="left"/>
            <w:rPr>
              <w:sz w:val="18"/>
            </w:rPr>
          </w:pPr>
          <w:r>
            <w:rPr>
              <w:sz w:val="18"/>
            </w:rPr>
            <w:t>Id: 7D6C71AE-8C14-4721-9D33-AD177CDF4F41.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31CF3" w:rsidRDefault="00BD05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31CF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6602">
            <w:rPr>
              <w:sz w:val="18"/>
            </w:rPr>
            <w:fldChar w:fldCharType="separate"/>
          </w:r>
          <w:r w:rsidR="00A76602">
            <w:rPr>
              <w:noProof/>
              <w:sz w:val="18"/>
            </w:rPr>
            <w:t>1</w:t>
          </w:r>
          <w:r w:rsidR="00831CF3">
            <w:rPr>
              <w:sz w:val="18"/>
            </w:rPr>
            <w:fldChar w:fldCharType="end"/>
          </w:r>
        </w:p>
      </w:tc>
    </w:tr>
  </w:tbl>
  <w:p w:rsidR="00831CF3" w:rsidRDefault="00831CF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D7" w:rsidRDefault="00BD05D7" w:rsidP="00831CF3">
      <w:r>
        <w:separator/>
      </w:r>
    </w:p>
  </w:footnote>
  <w:footnote w:type="continuationSeparator" w:id="1">
    <w:p w:rsidR="00BD05D7" w:rsidRDefault="00BD05D7" w:rsidP="00831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31CF3"/>
    <w:rsid w:val="00A76602"/>
    <w:rsid w:val="00A77B3E"/>
    <w:rsid w:val="00BD05D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1CF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132/2021 z dnia 28 stycznia 2021 r.</dc:title>
  <dc:subject>w sprawie rozpatrzenia uwag do projektu miejscowego planu zagospodarowania przestrzennego - w obrębie wsi Gostkowo, gmina Miejska Górka</dc:subject>
  <dc:creator>HP</dc:creator>
  <cp:lastModifiedBy>HP</cp:lastModifiedBy>
  <cp:revision>2</cp:revision>
  <dcterms:created xsi:type="dcterms:W3CDTF">2021-02-17T14:17:00Z</dcterms:created>
  <dcterms:modified xsi:type="dcterms:W3CDTF">2021-02-17T14:17:00Z</dcterms:modified>
  <cp:category>Akt prawny</cp:category>
</cp:coreProperties>
</file>